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711" w:rsidRPr="00A47248" w:rsidRDefault="003C3711" w:rsidP="003C3711">
      <w:pPr>
        <w:rPr>
          <w:rFonts w:ascii="David" w:hAnsi="David"/>
          <w:b/>
          <w:bCs/>
          <w:rtl/>
        </w:rPr>
      </w:pPr>
      <w:bookmarkStart w:id="0" w:name="_GoBack"/>
      <w:bookmarkEnd w:id="0"/>
      <w:r w:rsidRPr="00A47248">
        <w:rPr>
          <w:rFonts w:ascii="David" w:hAnsi="David" w:hint="cs"/>
          <w:b/>
          <w:bCs/>
          <w:rtl/>
        </w:rPr>
        <w:t>תקציר</w:t>
      </w:r>
    </w:p>
    <w:p w:rsidR="003C3711" w:rsidRDefault="003C3711" w:rsidP="003C3711">
      <w:pPr>
        <w:rPr>
          <w:rFonts w:ascii="David" w:hAnsi="David"/>
          <w:rtl/>
        </w:rPr>
      </w:pPr>
      <w:r>
        <w:rPr>
          <w:rFonts w:ascii="David" w:hAnsi="David" w:hint="cs"/>
          <w:rtl/>
        </w:rPr>
        <w:t>התפרצות נגיף הקורונה הובילה להשבתה נרחבת בשוק העבודה, כאשר בחודש יולי 2020 עמד מספר המובטלים על כ-420 אלף (כולל עובדים שנעדרו בגלל הקורונה). ייתכן וייקחו מספר שנים עד ששיעור האבטלה יחזור לרמתו טרום המשבר, על כן לפרטים יש כעת כדאיות כלכלית גדולה יותר להשקיע בהשכלה וכישורים כיוון שהעלות האלטרנטיבית (אובדן השכר הנובע מההשקעה בלימודים) נמוכה. משום כך סביר כי צעירים רבים (וגם מבוגרים) שוקלים כעת אם להצטרף למערכת ההשכלה הגבוהה, ואם כן, באיזה מוסד ומקצוע לימוד לבחור.</w:t>
      </w:r>
    </w:p>
    <w:p w:rsidR="003C3711" w:rsidRDefault="003C3711" w:rsidP="003C3711">
      <w:pPr>
        <w:rPr>
          <w:rFonts w:ascii="David" w:hAnsi="David"/>
          <w:rtl/>
        </w:rPr>
      </w:pPr>
      <w:r w:rsidRPr="00ED0B45">
        <w:rPr>
          <w:rFonts w:ascii="David" w:hAnsi="David"/>
          <w:rtl/>
        </w:rPr>
        <w:t>שיקולים רבים מנחים סטודנטים פוטנציאלים בבואם לבחור את מקצוע הלימוד ואת מוסד הלימודים</w:t>
      </w:r>
      <w:r>
        <w:rPr>
          <w:rFonts w:ascii="David" w:hAnsi="David" w:hint="cs"/>
          <w:rtl/>
        </w:rPr>
        <w:t xml:space="preserve"> מתוך מגוון האפשרויות שמציעה מערכת ההשכלה הגבוהה</w:t>
      </w:r>
      <w:r w:rsidRPr="00ED0B45">
        <w:rPr>
          <w:rFonts w:ascii="David" w:hAnsi="David"/>
          <w:rtl/>
        </w:rPr>
        <w:t>. בין שיקולים אלה ניתן למנות את מיקומו הגיאוגרפי של המוסד, קשרים חברתיים, גובה שכר הלימודים, איכות ההוראה במוסד,</w:t>
      </w:r>
      <w:r>
        <w:rPr>
          <w:rFonts w:ascii="David" w:hAnsi="David" w:hint="cs"/>
          <w:rtl/>
        </w:rPr>
        <w:t xml:space="preserve"> יוקרתיות המוסד,</w:t>
      </w:r>
      <w:r w:rsidRPr="00ED0B45">
        <w:rPr>
          <w:rFonts w:ascii="David" w:hAnsi="David"/>
          <w:rtl/>
        </w:rPr>
        <w:t xml:space="preserve"> גובה רף הקבלה ותחומי עניין אישיים. בנוסף לכל אלה, קיים גם השיקול של </w:t>
      </w:r>
      <w:r>
        <w:rPr>
          <w:rFonts w:ascii="David" w:hAnsi="David" w:hint="cs"/>
          <w:rtl/>
        </w:rPr>
        <w:t xml:space="preserve">"התשואה להשכלה" - </w:t>
      </w:r>
      <w:r w:rsidRPr="00ED0B45">
        <w:rPr>
          <w:rFonts w:ascii="David" w:hAnsi="David"/>
          <w:rtl/>
        </w:rPr>
        <w:t>תרומת התוא</w:t>
      </w:r>
      <w:r>
        <w:rPr>
          <w:rFonts w:ascii="David" w:hAnsi="David"/>
          <w:rtl/>
        </w:rPr>
        <w:t>ר האקדמי ל</w:t>
      </w:r>
      <w:r>
        <w:rPr>
          <w:rFonts w:ascii="David" w:hAnsi="David" w:hint="cs"/>
          <w:rtl/>
        </w:rPr>
        <w:t>השתלבות ב</w:t>
      </w:r>
      <w:r>
        <w:rPr>
          <w:rFonts w:ascii="David" w:hAnsi="David"/>
          <w:rtl/>
        </w:rPr>
        <w:t>שוק העבודה בסיום התוא</w:t>
      </w:r>
      <w:r>
        <w:rPr>
          <w:rFonts w:ascii="David" w:hAnsi="David" w:hint="cs"/>
          <w:rtl/>
        </w:rPr>
        <w:t>ר.</w:t>
      </w:r>
      <w:r w:rsidRPr="00ED0B45">
        <w:rPr>
          <w:rFonts w:ascii="David" w:hAnsi="David"/>
        </w:rPr>
        <w:t xml:space="preserve"> </w:t>
      </w:r>
      <w:r>
        <w:rPr>
          <w:rFonts w:ascii="David" w:hAnsi="David" w:hint="cs"/>
          <w:rtl/>
        </w:rPr>
        <w:t>זאת כיוון ש</w:t>
      </w:r>
      <w:r w:rsidRPr="00ED0B45">
        <w:rPr>
          <w:rFonts w:ascii="David" w:hAnsi="David"/>
          <w:rtl/>
        </w:rPr>
        <w:t>בחירת תחום הלימוד תשפיע על הכישורים א</w:t>
      </w:r>
      <w:r>
        <w:rPr>
          <w:rFonts w:ascii="David" w:hAnsi="David" w:hint="cs"/>
          <w:rtl/>
        </w:rPr>
        <w:t>ו</w:t>
      </w:r>
      <w:r w:rsidRPr="00ED0B45">
        <w:rPr>
          <w:rFonts w:ascii="David" w:hAnsi="David"/>
          <w:rtl/>
        </w:rPr>
        <w:t>תם יצבור הסטודנט במהלך לימודיו, על הענף בו יעבוד ועל משלח ידו העתידי</w:t>
      </w:r>
      <w:r>
        <w:rPr>
          <w:rFonts w:ascii="David" w:hAnsi="David" w:hint="cs"/>
          <w:rtl/>
        </w:rPr>
        <w:t>;</w:t>
      </w:r>
      <w:r w:rsidRPr="00ED0B45">
        <w:rPr>
          <w:rFonts w:ascii="David" w:hAnsi="David"/>
          <w:rtl/>
        </w:rPr>
        <w:t xml:space="preserve"> </w:t>
      </w:r>
      <w:r>
        <w:rPr>
          <w:rFonts w:ascii="David" w:hAnsi="David" w:hint="cs"/>
          <w:rtl/>
        </w:rPr>
        <w:t>ו</w:t>
      </w:r>
      <w:r w:rsidRPr="00ED0B45">
        <w:rPr>
          <w:rFonts w:ascii="David" w:hAnsi="David"/>
          <w:rtl/>
        </w:rPr>
        <w:t>בחירת מוסד הלימודים תשפיע על איכות הכישורים אותם יצבור כמו גם על מידת האטרקטיביות שלו כמועמד לעבודה.</w:t>
      </w:r>
    </w:p>
    <w:p w:rsidR="003C3711" w:rsidRDefault="003C3711" w:rsidP="003C3711">
      <w:pPr>
        <w:rPr>
          <w:rFonts w:ascii="David" w:hAnsi="David"/>
          <w:rtl/>
        </w:rPr>
      </w:pPr>
      <w:r>
        <w:rPr>
          <w:rFonts w:ascii="David" w:hAnsi="David" w:hint="cs"/>
          <w:rtl/>
        </w:rPr>
        <w:t>מחקרים שפורסמו בעת האחרונה בחנו את הקשר בין מקצוע הלימוד</w:t>
      </w:r>
      <w:r>
        <w:rPr>
          <w:rStyle w:val="af0"/>
          <w:rFonts w:ascii="David" w:hAnsi="David"/>
          <w:rtl/>
        </w:rPr>
        <w:footnoteReference w:id="1"/>
      </w:r>
      <w:r>
        <w:rPr>
          <w:rFonts w:ascii="David" w:hAnsi="David" w:hint="cs"/>
          <w:rtl/>
        </w:rPr>
        <w:t xml:space="preserve"> וסוג מוסד הלימודים</w:t>
      </w:r>
      <w:r>
        <w:rPr>
          <w:rStyle w:val="af0"/>
          <w:rFonts w:ascii="David" w:hAnsi="David"/>
          <w:rtl/>
        </w:rPr>
        <w:footnoteReference w:id="2"/>
      </w:r>
      <w:r>
        <w:rPr>
          <w:rFonts w:ascii="David" w:hAnsi="David" w:hint="cs"/>
          <w:rtl/>
        </w:rPr>
        <w:t xml:space="preserve"> על שכר הבוגרים באמצעים סטטיסטיים מתקדמים המנטרלים השפעות שונות על השכר על מנת לזהות במידת האפשר את הקשר הסיבתי בין התואר האקדמי לשכר. מיקוד זה אינו כולל ניתוח סטטיסטי מורכב אך משתמש בנתונים עדכניים ברמת מסלול הלימודים על מנת לבחון מספר משתנים חשובים לסטודנטים פוטנציאליים בבואם לבחור את מסלול הלימוד במערכת ההשכלה הגבוהה: השכר הצפוי בסיום התואר בשוק העבודה, סיכויי הנשירה במהלך הלימודים והסבירות לסיום התואר בזמן התקני. בעתיד הקרוב יוכלו </w:t>
      </w:r>
      <w:r>
        <w:rPr>
          <w:rFonts w:ascii="David" w:hAnsi="David" w:hint="cs"/>
          <w:rtl/>
        </w:rPr>
        <w:lastRenderedPageBreak/>
        <w:t>סטודנטים פוטנציאליים לבחון נתונים אלה ואחרים באתר אינטרנט ייעודי שתפרסם המדינה שיאפשר לבחון לעומק, באופן אינטראקטיבי, את הנתונים הרלבנטיים עבור התחומים והמוסדות המעניינים אותם. מהניתוח המוצג במסמך זה עולות מספר תובנות:</w:t>
      </w:r>
    </w:p>
    <w:p w:rsidR="003C3711" w:rsidRDefault="003C3711" w:rsidP="003C3711">
      <w:pPr>
        <w:pStyle w:val="a7"/>
        <w:numPr>
          <w:ilvl w:val="0"/>
          <w:numId w:val="38"/>
        </w:numPr>
        <w:spacing w:after="160"/>
        <w:rPr>
          <w:rFonts w:ascii="David" w:hAnsi="David"/>
        </w:rPr>
      </w:pPr>
      <w:r w:rsidRPr="000E4DE1">
        <w:rPr>
          <w:rFonts w:ascii="David" w:hAnsi="David" w:hint="cs"/>
          <w:rtl/>
        </w:rPr>
        <w:t xml:space="preserve">בחירת מקצוע הלימוד </w:t>
      </w:r>
      <w:r>
        <w:rPr>
          <w:rFonts w:ascii="David" w:hAnsi="David" w:hint="cs"/>
          <w:rtl/>
        </w:rPr>
        <w:t>מקושרת במידה</w:t>
      </w:r>
      <w:r w:rsidRPr="000E4DE1">
        <w:rPr>
          <w:rFonts w:ascii="David" w:hAnsi="David" w:hint="cs"/>
          <w:rtl/>
        </w:rPr>
        <w:t xml:space="preserve"> </w:t>
      </w:r>
      <w:r>
        <w:rPr>
          <w:rFonts w:ascii="David" w:hAnsi="David" w:hint="cs"/>
          <w:rtl/>
        </w:rPr>
        <w:t>ל</w:t>
      </w:r>
      <w:r w:rsidRPr="000E4DE1">
        <w:rPr>
          <w:rFonts w:ascii="David" w:hAnsi="David" w:hint="cs"/>
          <w:rtl/>
        </w:rPr>
        <w:t xml:space="preserve">שכר הבוגרים, באופן שיכול לפצות במקרים רבים על תנאי פתיחה נמוכים יחסית. כך, </w:t>
      </w:r>
      <w:r w:rsidRPr="000E4DE1">
        <w:rPr>
          <w:rFonts w:ascii="David" w:hAnsi="David"/>
          <w:rtl/>
        </w:rPr>
        <w:t xml:space="preserve">ציון פסיכומטרי גבוה מאפשר ללמוד </w:t>
      </w:r>
      <w:r w:rsidRPr="000E4DE1">
        <w:rPr>
          <w:rFonts w:ascii="David" w:hAnsi="David" w:hint="cs"/>
          <w:rtl/>
        </w:rPr>
        <w:t>במסלולי לימוד</w:t>
      </w:r>
      <w:r w:rsidRPr="000E4DE1">
        <w:rPr>
          <w:rFonts w:ascii="David" w:hAnsi="David"/>
          <w:rtl/>
        </w:rPr>
        <w:t xml:space="preserve"> </w:t>
      </w:r>
      <w:r w:rsidRPr="000E4DE1">
        <w:rPr>
          <w:rFonts w:ascii="David" w:hAnsi="David" w:hint="cs"/>
          <w:rtl/>
        </w:rPr>
        <w:t xml:space="preserve">יוקרתיים יותר </w:t>
      </w:r>
      <w:r w:rsidRPr="000E4DE1">
        <w:rPr>
          <w:rFonts w:ascii="David" w:hAnsi="David"/>
          <w:rtl/>
        </w:rPr>
        <w:t>בהם השכר הממוצע של הבוגרים הוא גבוה</w:t>
      </w:r>
      <w:r w:rsidRPr="000E4DE1">
        <w:rPr>
          <w:rFonts w:ascii="David" w:hAnsi="David" w:hint="cs"/>
          <w:rtl/>
        </w:rPr>
        <w:t xml:space="preserve"> יחסית</w:t>
      </w:r>
      <w:r w:rsidRPr="000E4DE1">
        <w:rPr>
          <w:rFonts w:ascii="David" w:hAnsi="David"/>
          <w:rtl/>
        </w:rPr>
        <w:t>. עם</w:t>
      </w:r>
      <w:r w:rsidRPr="000E4DE1">
        <w:rPr>
          <w:rFonts w:ascii="David" w:hAnsi="David" w:hint="cs"/>
          <w:rtl/>
        </w:rPr>
        <w:t xml:space="preserve"> זאת, גם עם ציון פסיכומטרי ממוצע ואף נמוך מהממוצע, ניתן להתקבל למסלולי לימוד אשר מובילים לשכר ממוצע גבוה בשוק העבודה, זאת כאשר בוגרי המקצועות הראליים מרוויחים שכר גבוה במיוחד. </w:t>
      </w:r>
      <w:r>
        <w:rPr>
          <w:rFonts w:ascii="David" w:hAnsi="David" w:hint="cs"/>
          <w:rtl/>
        </w:rPr>
        <w:t>בטווח הבינוני מדרג שכר הבוגרים של תחומי הלימוד ומסלולי הלימוד נשאר יציב למדי.</w:t>
      </w:r>
    </w:p>
    <w:p w:rsidR="003C3711" w:rsidRDefault="003C3711" w:rsidP="003C3711">
      <w:pPr>
        <w:pStyle w:val="a7"/>
        <w:numPr>
          <w:ilvl w:val="0"/>
          <w:numId w:val="38"/>
        </w:numPr>
        <w:spacing w:after="160"/>
        <w:rPr>
          <w:rFonts w:ascii="David" w:hAnsi="David"/>
        </w:rPr>
      </w:pPr>
      <w:r w:rsidRPr="000E4DE1">
        <w:rPr>
          <w:rFonts w:ascii="David" w:hAnsi="David" w:hint="cs"/>
          <w:rtl/>
        </w:rPr>
        <w:t xml:space="preserve">מדרג השכר של נשים ושל גברים לפי תחום לימוד דומה מאוד, כאשר למרות השתתפותן הנמוכה בתחומים הריאליים, נשים בעלות תואר במקצועות אלה נהנות בממוצע משכר גבוה יחסית. </w:t>
      </w:r>
    </w:p>
    <w:p w:rsidR="003C3711" w:rsidRDefault="003C3711" w:rsidP="003C3711">
      <w:pPr>
        <w:pStyle w:val="a7"/>
        <w:numPr>
          <w:ilvl w:val="0"/>
          <w:numId w:val="38"/>
        </w:numPr>
        <w:spacing w:after="160"/>
        <w:rPr>
          <w:rFonts w:ascii="David" w:hAnsi="David"/>
        </w:rPr>
      </w:pPr>
      <w:r w:rsidRPr="000E4DE1">
        <w:rPr>
          <w:rFonts w:ascii="David" w:hAnsi="David" w:hint="cs"/>
          <w:rtl/>
        </w:rPr>
        <w:t xml:space="preserve">קיימת שונות גבוהה מבחינת שיעורי הנשירה ושיעור המסיימים בזמן תקני בין מסלולי הלימוד ותחומי הלימוד, כאשר שיעורי הנשירה במכללות בתחומי הלימוד המאופיינים בשכר גבוה יחסית גבוהים יותר בממוצע בהשוואה לאוניברסיטאות. </w:t>
      </w:r>
    </w:p>
    <w:p w:rsidR="003C3711" w:rsidRPr="000E4DE1" w:rsidRDefault="003C3711" w:rsidP="003C3711">
      <w:pPr>
        <w:pStyle w:val="a7"/>
        <w:numPr>
          <w:ilvl w:val="0"/>
          <w:numId w:val="38"/>
        </w:numPr>
        <w:spacing w:after="160"/>
        <w:rPr>
          <w:rFonts w:ascii="David" w:hAnsi="David"/>
          <w:rtl/>
        </w:rPr>
      </w:pPr>
      <w:r w:rsidRPr="000E4DE1">
        <w:rPr>
          <w:rFonts w:ascii="David" w:hAnsi="David" w:hint="cs"/>
          <w:rtl/>
        </w:rPr>
        <w:t xml:space="preserve">באופן כללי, שיעורי הנשירה של גברים גבוהים יותר בהשוואה לנשים, </w:t>
      </w:r>
      <w:r>
        <w:rPr>
          <w:rFonts w:ascii="David" w:hAnsi="David" w:hint="cs"/>
          <w:rtl/>
        </w:rPr>
        <w:t>ותמונה דומה עולה</w:t>
      </w:r>
      <w:r w:rsidRPr="000E4DE1">
        <w:rPr>
          <w:rFonts w:ascii="David" w:hAnsi="David" w:hint="cs"/>
          <w:rtl/>
        </w:rPr>
        <w:t xml:space="preserve"> גם במקצועות הריאליים בהם שיעור ההשתתפות של נשים נמו</w:t>
      </w:r>
      <w:r>
        <w:rPr>
          <w:rFonts w:ascii="David" w:hAnsi="David" w:hint="cs"/>
          <w:rtl/>
        </w:rPr>
        <w:t>ך</w:t>
      </w:r>
      <w:r w:rsidRPr="000E4DE1">
        <w:rPr>
          <w:rFonts w:ascii="David" w:hAnsi="David" w:hint="cs"/>
          <w:rtl/>
        </w:rPr>
        <w:t>.</w:t>
      </w:r>
    </w:p>
    <w:p w:rsidR="003C3711" w:rsidRDefault="003C3711" w:rsidP="003C3711">
      <w:pPr>
        <w:rPr>
          <w:rFonts w:ascii="David" w:hAnsi="David"/>
          <w:rtl/>
        </w:rPr>
      </w:pPr>
      <w:r>
        <w:rPr>
          <w:rFonts w:ascii="David" w:hAnsi="David" w:hint="cs"/>
          <w:rtl/>
        </w:rPr>
        <w:t>המיקוד מאורגן בסדר הבא: בחלק הראשון של הסקירה תוצג תמונת המצב הנוכחית של התפלגות בוגרי מערכת ההשכלה הגבוהה לפי תחום הלימוד וסוג המוסד; בחלק השני יבחן הקשר בין סוג התואר והשכר; בחלק השלישי יוצגו נתונים לגבי שיעור הנשירה והסיום במועד תקני של התואר.</w:t>
      </w:r>
    </w:p>
    <w:p w:rsidR="003C3711" w:rsidRPr="00A47248" w:rsidRDefault="003C3711" w:rsidP="003C3711">
      <w:pPr>
        <w:rPr>
          <w:rFonts w:ascii="David" w:hAnsi="David"/>
          <w:b/>
          <w:bCs/>
          <w:rtl/>
        </w:rPr>
      </w:pPr>
      <w:r>
        <w:rPr>
          <w:rFonts w:ascii="David" w:hAnsi="David" w:hint="cs"/>
          <w:b/>
          <w:bCs/>
          <w:rtl/>
        </w:rPr>
        <w:t>התפלגות הבוגרים לפי סוג התארים</w:t>
      </w:r>
    </w:p>
    <w:p w:rsidR="003C3711" w:rsidRDefault="003C3711" w:rsidP="003C3711">
      <w:pPr>
        <w:rPr>
          <w:rFonts w:ascii="David" w:hAnsi="David"/>
          <w:rtl/>
        </w:rPr>
      </w:pPr>
      <w:r>
        <w:rPr>
          <w:rFonts w:ascii="David" w:hAnsi="David" w:hint="cs"/>
          <w:rtl/>
        </w:rPr>
        <w:t xml:space="preserve">לוח ש1 מציג את תמונת המצב הנוכחית מבחינת חלוקת בוגרי מערכת ההשכלה הגבוהה בין סוגי מוסדות הלימוד ותחומי הלימוד. כך, בשנת תשע"ח (2017-2018) כ-44% מהבוגרים למדו באוניברסיטאות (כולל האוניברסיטה הפתוחה), וכ-56% למדו במכללות אקדמאיות (כאשר כ-15% נקודות אחוז מתוכם למדו במכללות אקדמאיות לחינוך). תחומי הלימוד הבולטים היו מדעי הרוח והחינוך (27% בסך הכול), מדעי </w:t>
      </w:r>
      <w:r>
        <w:rPr>
          <w:rFonts w:ascii="David" w:hAnsi="David" w:hint="cs"/>
          <w:rtl/>
        </w:rPr>
        <w:lastRenderedPageBreak/>
        <w:t>החברה (24%), הנדסה ואדריכלות (13%) ועסקים ומדעי הניהול (13%). בעוד שבאוניברסיטאות לימודי מדעי החברה, מדעי הטבע, מתמטיקה וחקלאות היוו שיעור גדול יחסית, במכללות האקדמיות ללימודי עסקים ומדעי הניהול ומשפטים היה משקל גדול יחסית. כ-59% מהסטודנטים לתואר ראשון בשנה זו היו נשים.</w:t>
      </w:r>
    </w:p>
    <w:p w:rsidR="003C3711" w:rsidRDefault="003C3711" w:rsidP="003C3711">
      <w:pPr>
        <w:rPr>
          <w:rFonts w:ascii="David" w:hAnsi="David"/>
          <w:rtl/>
        </w:rPr>
      </w:pPr>
    </w:p>
    <w:p w:rsidR="003C3711" w:rsidRDefault="003C3711" w:rsidP="003C3711">
      <w:pPr>
        <w:rPr>
          <w:rFonts w:ascii="David" w:hAnsi="David"/>
          <w:rtl/>
        </w:rPr>
      </w:pPr>
    </w:p>
    <w:p w:rsidR="003C3711" w:rsidRDefault="003C3711" w:rsidP="003C3711">
      <w:pPr>
        <w:rPr>
          <w:rFonts w:ascii="David" w:hAnsi="David"/>
          <w:rtl/>
        </w:rPr>
      </w:pPr>
    </w:p>
    <w:p w:rsidR="003C3711" w:rsidRDefault="003C3711" w:rsidP="003C3711">
      <w:pPr>
        <w:rPr>
          <w:rFonts w:ascii="David" w:hAnsi="David"/>
          <w:rtl/>
        </w:rPr>
      </w:pPr>
    </w:p>
    <w:p w:rsidR="003C3711" w:rsidRDefault="003C3711" w:rsidP="003C3711">
      <w:pPr>
        <w:rPr>
          <w:rFonts w:ascii="David" w:hAnsi="David"/>
          <w:rtl/>
        </w:rPr>
      </w:pPr>
    </w:p>
    <w:p w:rsidR="003C3711" w:rsidRDefault="003C3711" w:rsidP="003C3711">
      <w:pPr>
        <w:rPr>
          <w:rFonts w:ascii="David" w:hAnsi="David"/>
          <w:rtl/>
        </w:rPr>
      </w:pPr>
    </w:p>
    <w:p w:rsidR="003C3711" w:rsidRDefault="003C3711" w:rsidP="003C3711">
      <w:pPr>
        <w:rPr>
          <w:rFonts w:ascii="David" w:hAnsi="David"/>
          <w:rtl/>
        </w:rPr>
      </w:pPr>
    </w:p>
    <w:p w:rsidR="003C3711" w:rsidRPr="007A2076" w:rsidRDefault="003C3711" w:rsidP="003C3711">
      <w:pPr>
        <w:jc w:val="center"/>
        <w:rPr>
          <w:rFonts w:ascii="David" w:hAnsi="David"/>
          <w:b/>
          <w:bCs/>
          <w:rtl/>
        </w:rPr>
      </w:pPr>
      <w:r>
        <w:rPr>
          <w:rFonts w:ascii="David" w:hAnsi="David" w:hint="cs"/>
          <w:b/>
          <w:bCs/>
          <w:rtl/>
        </w:rPr>
        <w:t xml:space="preserve">לוח ש1: </w:t>
      </w:r>
      <w:r w:rsidRPr="007A2076">
        <w:rPr>
          <w:rFonts w:ascii="David" w:hAnsi="David"/>
          <w:b/>
          <w:bCs/>
          <w:rtl/>
        </w:rPr>
        <w:t xml:space="preserve">מקבלי תואר </w:t>
      </w:r>
      <w:r>
        <w:rPr>
          <w:rFonts w:ascii="David" w:hAnsi="David" w:hint="cs"/>
          <w:b/>
          <w:bCs/>
          <w:rtl/>
        </w:rPr>
        <w:t>ראשון</w:t>
      </w:r>
      <w:r w:rsidRPr="007A2076">
        <w:rPr>
          <w:rFonts w:ascii="David" w:hAnsi="David"/>
          <w:b/>
          <w:bCs/>
          <w:rtl/>
        </w:rPr>
        <w:t xml:space="preserve"> לפי סוג מוסד ותחום לימודים, תשע"ח (2017/18)</w:t>
      </w:r>
    </w:p>
    <w:tbl>
      <w:tblPr>
        <w:tblW w:w="11579" w:type="dxa"/>
        <w:tblBorders>
          <w:top w:val="single" w:sz="4" w:space="0" w:color="auto"/>
          <w:bottom w:val="single" w:sz="4" w:space="0" w:color="auto"/>
        </w:tblBorders>
        <w:tblLook w:val="04A0" w:firstRow="1" w:lastRow="0" w:firstColumn="1" w:lastColumn="0" w:noHBand="0" w:noVBand="1"/>
        <w:tblCaption w:val="לוח ש1"/>
      </w:tblPr>
      <w:tblGrid>
        <w:gridCol w:w="900"/>
        <w:gridCol w:w="2540"/>
        <w:gridCol w:w="1677"/>
        <w:gridCol w:w="3231"/>
        <w:gridCol w:w="3231"/>
      </w:tblGrid>
      <w:tr w:rsidR="003C3711" w:rsidRPr="00A252B1" w:rsidTr="003C3711">
        <w:trPr>
          <w:trHeight w:val="20"/>
        </w:trPr>
        <w:tc>
          <w:tcPr>
            <w:tcW w:w="900" w:type="dxa"/>
            <w:tcBorders>
              <w:top w:val="single" w:sz="4" w:space="0" w:color="auto"/>
              <w:bottom w:val="single" w:sz="4" w:space="0" w:color="auto"/>
            </w:tcBorders>
            <w:shd w:val="clear" w:color="auto" w:fill="auto"/>
            <w:noWrap/>
            <w:vAlign w:val="center"/>
            <w:hideMark/>
          </w:tcPr>
          <w:p w:rsidR="003C3711" w:rsidRPr="00A252B1" w:rsidRDefault="003C3711" w:rsidP="003C3711">
            <w:pPr>
              <w:spacing w:after="0" w:line="240" w:lineRule="auto"/>
              <w:jc w:val="center"/>
              <w:rPr>
                <w:rFonts w:ascii="David" w:eastAsia="Times New Roman" w:hAnsi="David"/>
                <w:color w:val="000000"/>
              </w:rPr>
            </w:pPr>
            <w:r w:rsidRPr="00A252B1">
              <w:rPr>
                <w:rFonts w:ascii="David" w:eastAsia="Times New Roman" w:hAnsi="David" w:hint="cs"/>
                <w:color w:val="000000"/>
                <w:rtl/>
              </w:rPr>
              <w:t>סה"כ</w:t>
            </w:r>
            <w:r w:rsidRPr="00A252B1">
              <w:rPr>
                <w:rFonts w:ascii="David" w:eastAsia="Times New Roman" w:hAnsi="David"/>
                <w:color w:val="000000"/>
                <w:rtl/>
              </w:rPr>
              <w:t>*</w:t>
            </w:r>
            <w:r w:rsidRPr="00A252B1">
              <w:rPr>
                <w:rFonts w:ascii="David" w:eastAsia="Times New Roman" w:hAnsi="David" w:hint="cs"/>
                <w:color w:val="000000"/>
                <w:rtl/>
              </w:rPr>
              <w:t>*</w:t>
            </w:r>
          </w:p>
        </w:tc>
        <w:tc>
          <w:tcPr>
            <w:tcW w:w="2540" w:type="dxa"/>
            <w:tcBorders>
              <w:top w:val="single" w:sz="4" w:space="0" w:color="auto"/>
              <w:bottom w:val="single" w:sz="4" w:space="0" w:color="auto"/>
            </w:tcBorders>
            <w:shd w:val="clear" w:color="auto" w:fill="auto"/>
            <w:noWrap/>
            <w:vAlign w:val="center"/>
            <w:hideMark/>
          </w:tcPr>
          <w:p w:rsidR="003C3711" w:rsidRPr="00A252B1" w:rsidRDefault="003C3711" w:rsidP="003C3711">
            <w:pPr>
              <w:spacing w:after="0" w:line="240" w:lineRule="auto"/>
              <w:jc w:val="center"/>
              <w:rPr>
                <w:rFonts w:ascii="David" w:eastAsia="Times New Roman" w:hAnsi="David"/>
                <w:color w:val="000000"/>
                <w:rtl/>
              </w:rPr>
            </w:pPr>
            <w:r w:rsidRPr="00A252B1">
              <w:rPr>
                <w:rFonts w:ascii="David" w:eastAsia="Times New Roman" w:hAnsi="David"/>
                <w:color w:val="000000"/>
                <w:rtl/>
              </w:rPr>
              <w:t>מכללות אקדמיות</w:t>
            </w:r>
          </w:p>
        </w:tc>
        <w:tc>
          <w:tcPr>
            <w:tcW w:w="1677" w:type="dxa"/>
            <w:tcBorders>
              <w:top w:val="single" w:sz="4" w:space="0" w:color="auto"/>
              <w:bottom w:val="single" w:sz="4" w:space="0" w:color="auto"/>
            </w:tcBorders>
            <w:shd w:val="clear" w:color="auto" w:fill="auto"/>
            <w:noWrap/>
            <w:vAlign w:val="center"/>
            <w:hideMark/>
          </w:tcPr>
          <w:p w:rsidR="003C3711" w:rsidRPr="00A252B1" w:rsidRDefault="003C3711" w:rsidP="003C3711">
            <w:pPr>
              <w:spacing w:after="0" w:line="240" w:lineRule="auto"/>
              <w:jc w:val="center"/>
              <w:rPr>
                <w:rFonts w:ascii="David" w:eastAsia="Times New Roman" w:hAnsi="David"/>
                <w:color w:val="000000"/>
                <w:rtl/>
              </w:rPr>
            </w:pPr>
            <w:r w:rsidRPr="00A252B1">
              <w:rPr>
                <w:rFonts w:ascii="David" w:eastAsia="Times New Roman" w:hAnsi="David"/>
                <w:color w:val="000000"/>
                <w:rtl/>
              </w:rPr>
              <w:t>אוניברסיטאות*</w:t>
            </w:r>
          </w:p>
        </w:tc>
        <w:tc>
          <w:tcPr>
            <w:tcW w:w="3231" w:type="dxa"/>
            <w:tcBorders>
              <w:top w:val="single" w:sz="4" w:space="0" w:color="auto"/>
              <w:bottom w:val="single" w:sz="4" w:space="0" w:color="auto"/>
            </w:tcBorders>
            <w:shd w:val="clear" w:color="auto" w:fill="auto"/>
            <w:noWrap/>
            <w:vAlign w:val="center"/>
            <w:hideMark/>
          </w:tcPr>
          <w:p w:rsidR="003C3711" w:rsidRPr="00A252B1" w:rsidRDefault="003C3711" w:rsidP="003C3711">
            <w:pPr>
              <w:spacing w:after="0" w:line="240" w:lineRule="auto"/>
              <w:rPr>
                <w:rFonts w:ascii="David" w:eastAsia="Times New Roman" w:hAnsi="David"/>
                <w:color w:val="000000"/>
                <w:rtl/>
              </w:rPr>
            </w:pPr>
            <w:r w:rsidRPr="00A252B1">
              <w:rPr>
                <w:rFonts w:ascii="David" w:eastAsia="Times New Roman" w:hAnsi="David"/>
                <w:color w:val="000000"/>
                <w:rtl/>
              </w:rPr>
              <w:t>תחום לימודים</w:t>
            </w:r>
          </w:p>
        </w:tc>
        <w:tc>
          <w:tcPr>
            <w:tcW w:w="3231" w:type="dxa"/>
            <w:tcBorders>
              <w:top w:val="single" w:sz="4" w:space="0" w:color="auto"/>
              <w:bottom w:val="single" w:sz="4" w:space="0" w:color="auto"/>
            </w:tcBorders>
          </w:tcPr>
          <w:p w:rsidR="003C3711" w:rsidRPr="00A252B1" w:rsidRDefault="003C3711" w:rsidP="003C3711">
            <w:pPr>
              <w:spacing w:after="0" w:line="240" w:lineRule="auto"/>
              <w:rPr>
                <w:rFonts w:ascii="David" w:eastAsia="Times New Roman" w:hAnsi="David"/>
                <w:color w:val="000000"/>
                <w:rtl/>
              </w:rPr>
            </w:pPr>
          </w:p>
        </w:tc>
      </w:tr>
      <w:tr w:rsidR="003C3711" w:rsidRPr="00A252B1" w:rsidTr="003C3711">
        <w:trPr>
          <w:trHeight w:val="20"/>
        </w:trPr>
        <w:tc>
          <w:tcPr>
            <w:tcW w:w="900" w:type="dxa"/>
            <w:tcBorders>
              <w:top w:val="single" w:sz="4" w:space="0" w:color="auto"/>
              <w:bottom w:val="nil"/>
            </w:tcBorders>
            <w:shd w:val="clear" w:color="auto" w:fill="auto"/>
            <w:noWrap/>
            <w:vAlign w:val="center"/>
            <w:hideMark/>
          </w:tcPr>
          <w:p w:rsidR="003C3711" w:rsidRPr="00A252B1" w:rsidRDefault="003C3711" w:rsidP="003C3711">
            <w:pPr>
              <w:spacing w:after="0" w:line="240" w:lineRule="auto"/>
              <w:jc w:val="center"/>
              <w:rPr>
                <w:rFonts w:ascii="David" w:eastAsia="Times New Roman" w:hAnsi="David"/>
                <w:color w:val="000000"/>
                <w:rtl/>
              </w:rPr>
            </w:pPr>
            <w:r w:rsidRPr="00A252B1">
              <w:rPr>
                <w:rFonts w:ascii="David" w:eastAsia="Times New Roman" w:hAnsi="David"/>
                <w:color w:val="000000"/>
              </w:rPr>
              <w:t>51,298</w:t>
            </w:r>
          </w:p>
        </w:tc>
        <w:tc>
          <w:tcPr>
            <w:tcW w:w="2540" w:type="dxa"/>
            <w:tcBorders>
              <w:top w:val="single" w:sz="4" w:space="0" w:color="auto"/>
              <w:bottom w:val="nil"/>
            </w:tcBorders>
            <w:shd w:val="clear" w:color="auto" w:fill="auto"/>
            <w:noWrap/>
            <w:vAlign w:val="center"/>
            <w:hideMark/>
          </w:tcPr>
          <w:p w:rsidR="003C3711" w:rsidRPr="00A252B1" w:rsidRDefault="003C3711" w:rsidP="003C3711">
            <w:pPr>
              <w:spacing w:after="0" w:line="240" w:lineRule="auto"/>
              <w:jc w:val="center"/>
              <w:rPr>
                <w:rFonts w:ascii="David" w:eastAsia="Times New Roman" w:hAnsi="David"/>
                <w:color w:val="000000"/>
                <w:rtl/>
              </w:rPr>
            </w:pPr>
            <w:r w:rsidRPr="00A252B1">
              <w:rPr>
                <w:rFonts w:ascii="David" w:eastAsia="Times New Roman" w:hAnsi="David"/>
                <w:color w:val="000000"/>
              </w:rPr>
              <w:t>20,804</w:t>
            </w:r>
          </w:p>
        </w:tc>
        <w:tc>
          <w:tcPr>
            <w:tcW w:w="1677" w:type="dxa"/>
            <w:tcBorders>
              <w:top w:val="single" w:sz="4" w:space="0" w:color="auto"/>
              <w:bottom w:val="nil"/>
            </w:tcBorders>
            <w:shd w:val="clear" w:color="auto" w:fill="auto"/>
            <w:noWrap/>
            <w:vAlign w:val="center"/>
            <w:hideMark/>
          </w:tcPr>
          <w:p w:rsidR="003C3711" w:rsidRPr="00A252B1" w:rsidRDefault="003C3711" w:rsidP="003C3711">
            <w:pPr>
              <w:spacing w:after="0" w:line="240" w:lineRule="auto"/>
              <w:jc w:val="center"/>
              <w:rPr>
                <w:rFonts w:ascii="David" w:eastAsia="Times New Roman" w:hAnsi="David"/>
                <w:color w:val="000000"/>
                <w:rtl/>
              </w:rPr>
            </w:pPr>
            <w:r w:rsidRPr="00A252B1">
              <w:rPr>
                <w:rFonts w:ascii="David" w:eastAsia="Times New Roman" w:hAnsi="David"/>
                <w:color w:val="000000"/>
              </w:rPr>
              <w:t>22,693</w:t>
            </w:r>
          </w:p>
        </w:tc>
        <w:tc>
          <w:tcPr>
            <w:tcW w:w="3231" w:type="dxa"/>
            <w:tcBorders>
              <w:top w:val="single" w:sz="4" w:space="0" w:color="auto"/>
              <w:bottom w:val="nil"/>
            </w:tcBorders>
            <w:shd w:val="clear" w:color="auto" w:fill="auto"/>
            <w:noWrap/>
            <w:vAlign w:val="center"/>
            <w:hideMark/>
          </w:tcPr>
          <w:p w:rsidR="003C3711" w:rsidRPr="00A252B1" w:rsidRDefault="003C3711" w:rsidP="003C3711">
            <w:pPr>
              <w:spacing w:after="0" w:line="240" w:lineRule="auto"/>
              <w:rPr>
                <w:rFonts w:ascii="David" w:eastAsia="Times New Roman" w:hAnsi="David"/>
                <w:color w:val="000000"/>
                <w:rtl/>
              </w:rPr>
            </w:pPr>
            <w:r w:rsidRPr="00A252B1">
              <w:rPr>
                <w:rFonts w:ascii="David" w:eastAsia="Times New Roman" w:hAnsi="David" w:hint="cs"/>
                <w:color w:val="000000"/>
                <w:rtl/>
              </w:rPr>
              <w:t>ב</w:t>
            </w:r>
            <w:r w:rsidRPr="00A252B1">
              <w:rPr>
                <w:rFonts w:ascii="David" w:eastAsia="Times New Roman" w:hAnsi="David"/>
                <w:color w:val="000000"/>
                <w:rtl/>
              </w:rPr>
              <w:t>מספרים מוחלטים</w:t>
            </w:r>
            <w:r w:rsidRPr="00A252B1">
              <w:rPr>
                <w:rFonts w:ascii="David" w:eastAsia="Times New Roman" w:hAnsi="David" w:hint="cs"/>
                <w:color w:val="000000"/>
                <w:rtl/>
              </w:rPr>
              <w:t>:</w:t>
            </w:r>
          </w:p>
        </w:tc>
        <w:tc>
          <w:tcPr>
            <w:tcW w:w="3231" w:type="dxa"/>
            <w:tcBorders>
              <w:top w:val="single" w:sz="4" w:space="0" w:color="auto"/>
              <w:bottom w:val="nil"/>
            </w:tcBorders>
          </w:tcPr>
          <w:p w:rsidR="003C3711" w:rsidRPr="00A252B1" w:rsidRDefault="003C3711" w:rsidP="003C3711">
            <w:pPr>
              <w:spacing w:after="0" w:line="240" w:lineRule="auto"/>
              <w:rPr>
                <w:rFonts w:ascii="David" w:eastAsia="Times New Roman" w:hAnsi="David"/>
                <w:color w:val="000000"/>
                <w:rtl/>
              </w:rPr>
            </w:pPr>
          </w:p>
        </w:tc>
      </w:tr>
      <w:tr w:rsidR="003C3711" w:rsidRPr="00A252B1" w:rsidTr="003C3711">
        <w:trPr>
          <w:trHeight w:val="20"/>
        </w:trPr>
        <w:tc>
          <w:tcPr>
            <w:tcW w:w="900" w:type="dxa"/>
            <w:tcBorders>
              <w:top w:val="nil"/>
              <w:bottom w:val="nil"/>
            </w:tcBorders>
            <w:shd w:val="clear" w:color="auto" w:fill="auto"/>
            <w:noWrap/>
            <w:vAlign w:val="center"/>
          </w:tcPr>
          <w:p w:rsidR="003C3711" w:rsidRPr="00A252B1" w:rsidRDefault="003C3711" w:rsidP="003C3711">
            <w:pPr>
              <w:bidi w:val="0"/>
              <w:spacing w:after="0" w:line="240" w:lineRule="auto"/>
              <w:jc w:val="center"/>
              <w:rPr>
                <w:rFonts w:ascii="David" w:eastAsia="Times New Roman" w:hAnsi="David"/>
                <w:color w:val="000000"/>
                <w:rtl/>
              </w:rPr>
            </w:pPr>
          </w:p>
        </w:tc>
        <w:tc>
          <w:tcPr>
            <w:tcW w:w="2540" w:type="dxa"/>
            <w:tcBorders>
              <w:top w:val="nil"/>
              <w:bottom w:val="nil"/>
            </w:tcBorders>
            <w:shd w:val="clear" w:color="auto" w:fill="auto"/>
            <w:noWrap/>
            <w:vAlign w:val="center"/>
          </w:tcPr>
          <w:p w:rsidR="003C3711" w:rsidRPr="00A252B1" w:rsidRDefault="003C3711" w:rsidP="003C3711">
            <w:pPr>
              <w:bidi w:val="0"/>
              <w:spacing w:after="0" w:line="240" w:lineRule="auto"/>
              <w:jc w:val="center"/>
              <w:rPr>
                <w:rFonts w:ascii="David" w:eastAsia="Times New Roman" w:hAnsi="David"/>
                <w:color w:val="000000"/>
              </w:rPr>
            </w:pPr>
          </w:p>
        </w:tc>
        <w:tc>
          <w:tcPr>
            <w:tcW w:w="1677" w:type="dxa"/>
            <w:tcBorders>
              <w:top w:val="nil"/>
              <w:bottom w:val="nil"/>
            </w:tcBorders>
            <w:shd w:val="clear" w:color="auto" w:fill="auto"/>
            <w:noWrap/>
            <w:vAlign w:val="center"/>
          </w:tcPr>
          <w:p w:rsidR="003C3711" w:rsidRPr="00A252B1" w:rsidRDefault="003C3711" w:rsidP="003C3711">
            <w:pPr>
              <w:bidi w:val="0"/>
              <w:spacing w:after="0" w:line="240" w:lineRule="auto"/>
              <w:jc w:val="center"/>
              <w:rPr>
                <w:rFonts w:ascii="David" w:eastAsia="Times New Roman" w:hAnsi="David"/>
                <w:color w:val="000000"/>
              </w:rPr>
            </w:pPr>
          </w:p>
        </w:tc>
        <w:tc>
          <w:tcPr>
            <w:tcW w:w="3231" w:type="dxa"/>
            <w:tcBorders>
              <w:top w:val="nil"/>
              <w:bottom w:val="nil"/>
            </w:tcBorders>
            <w:shd w:val="clear" w:color="auto" w:fill="auto"/>
            <w:noWrap/>
            <w:vAlign w:val="center"/>
            <w:hideMark/>
          </w:tcPr>
          <w:p w:rsidR="003C3711" w:rsidRPr="00A252B1" w:rsidRDefault="003C3711" w:rsidP="003C3711">
            <w:pPr>
              <w:spacing w:after="0" w:line="240" w:lineRule="auto"/>
              <w:rPr>
                <w:rFonts w:ascii="David" w:eastAsia="Times New Roman" w:hAnsi="David"/>
                <w:color w:val="000000"/>
                <w:u w:val="single"/>
              </w:rPr>
            </w:pPr>
            <w:r w:rsidRPr="00A252B1">
              <w:rPr>
                <w:rFonts w:ascii="David" w:eastAsia="Times New Roman" w:hAnsi="David" w:hint="cs"/>
                <w:color w:val="000000"/>
                <w:u w:val="single"/>
                <w:rtl/>
              </w:rPr>
              <w:t>ב</w:t>
            </w:r>
            <w:r w:rsidRPr="00A252B1">
              <w:rPr>
                <w:rFonts w:ascii="David" w:eastAsia="Times New Roman" w:hAnsi="David"/>
                <w:color w:val="000000"/>
                <w:u w:val="single"/>
                <w:rtl/>
              </w:rPr>
              <w:t>אחוזים</w:t>
            </w:r>
          </w:p>
        </w:tc>
        <w:tc>
          <w:tcPr>
            <w:tcW w:w="3231" w:type="dxa"/>
            <w:tcBorders>
              <w:top w:val="nil"/>
              <w:bottom w:val="nil"/>
            </w:tcBorders>
          </w:tcPr>
          <w:p w:rsidR="003C3711" w:rsidRPr="00A252B1" w:rsidRDefault="003C3711" w:rsidP="003C3711">
            <w:pPr>
              <w:spacing w:after="0" w:line="240" w:lineRule="auto"/>
              <w:rPr>
                <w:rFonts w:ascii="David" w:eastAsia="Times New Roman" w:hAnsi="David"/>
                <w:color w:val="000000"/>
                <w:u w:val="single"/>
                <w:rtl/>
              </w:rPr>
            </w:pPr>
          </w:p>
        </w:tc>
      </w:tr>
      <w:tr w:rsidR="003C3711" w:rsidRPr="00A252B1" w:rsidTr="003C3711">
        <w:trPr>
          <w:trHeight w:val="20"/>
        </w:trPr>
        <w:tc>
          <w:tcPr>
            <w:tcW w:w="900" w:type="dxa"/>
            <w:tcBorders>
              <w:top w:val="nil"/>
            </w:tcBorders>
            <w:shd w:val="clear" w:color="auto" w:fill="auto"/>
            <w:noWrap/>
            <w:vAlign w:val="center"/>
            <w:hideMark/>
          </w:tcPr>
          <w:p w:rsidR="003C3711" w:rsidRPr="00A252B1" w:rsidRDefault="003C3711" w:rsidP="003C3711">
            <w:pPr>
              <w:spacing w:after="0" w:line="240" w:lineRule="auto"/>
              <w:jc w:val="center"/>
              <w:rPr>
                <w:rFonts w:ascii="David" w:eastAsia="Times New Roman" w:hAnsi="David"/>
                <w:b/>
                <w:bCs/>
                <w:color w:val="000000"/>
                <w:rtl/>
              </w:rPr>
            </w:pPr>
          </w:p>
        </w:tc>
        <w:tc>
          <w:tcPr>
            <w:tcW w:w="2540" w:type="dxa"/>
            <w:tcBorders>
              <w:top w:val="nil"/>
            </w:tcBorders>
            <w:shd w:val="clear" w:color="auto" w:fill="auto"/>
            <w:noWrap/>
            <w:vAlign w:val="center"/>
            <w:hideMark/>
          </w:tcPr>
          <w:p w:rsidR="003C3711" w:rsidRPr="00A252B1" w:rsidRDefault="003C3711" w:rsidP="003C3711">
            <w:pPr>
              <w:bidi w:val="0"/>
              <w:spacing w:after="0" w:line="240" w:lineRule="auto"/>
              <w:jc w:val="center"/>
              <w:rPr>
                <w:rFonts w:ascii="David" w:eastAsia="Times New Roman" w:hAnsi="David"/>
              </w:rPr>
            </w:pPr>
          </w:p>
        </w:tc>
        <w:tc>
          <w:tcPr>
            <w:tcW w:w="1677" w:type="dxa"/>
            <w:tcBorders>
              <w:top w:val="nil"/>
            </w:tcBorders>
            <w:shd w:val="clear" w:color="auto" w:fill="auto"/>
            <w:noWrap/>
            <w:vAlign w:val="center"/>
            <w:hideMark/>
          </w:tcPr>
          <w:p w:rsidR="003C3711" w:rsidRPr="00A252B1" w:rsidRDefault="003C3711" w:rsidP="003C3711">
            <w:pPr>
              <w:bidi w:val="0"/>
              <w:spacing w:after="0" w:line="240" w:lineRule="auto"/>
              <w:jc w:val="center"/>
              <w:rPr>
                <w:rFonts w:ascii="David" w:eastAsia="Times New Roman" w:hAnsi="David"/>
              </w:rPr>
            </w:pPr>
          </w:p>
        </w:tc>
        <w:tc>
          <w:tcPr>
            <w:tcW w:w="3231" w:type="dxa"/>
            <w:tcBorders>
              <w:top w:val="nil"/>
            </w:tcBorders>
            <w:shd w:val="clear" w:color="auto" w:fill="auto"/>
            <w:noWrap/>
            <w:vAlign w:val="center"/>
            <w:hideMark/>
          </w:tcPr>
          <w:p w:rsidR="003C3711" w:rsidRPr="00A252B1" w:rsidRDefault="003C3711" w:rsidP="003C3711">
            <w:pPr>
              <w:spacing w:after="0" w:line="240" w:lineRule="auto"/>
              <w:rPr>
                <w:rFonts w:ascii="David" w:eastAsia="Times New Roman" w:hAnsi="David"/>
                <w:b/>
                <w:bCs/>
                <w:color w:val="000000"/>
              </w:rPr>
            </w:pPr>
          </w:p>
        </w:tc>
        <w:tc>
          <w:tcPr>
            <w:tcW w:w="3231" w:type="dxa"/>
            <w:tcBorders>
              <w:top w:val="nil"/>
            </w:tcBorders>
          </w:tcPr>
          <w:p w:rsidR="003C3711" w:rsidRPr="00A252B1" w:rsidRDefault="003C3711" w:rsidP="003C3711">
            <w:pPr>
              <w:spacing w:after="0" w:line="240" w:lineRule="auto"/>
              <w:rPr>
                <w:rFonts w:ascii="David" w:eastAsia="Times New Roman" w:hAnsi="David"/>
                <w:b/>
                <w:bCs/>
                <w:color w:val="000000"/>
              </w:rPr>
            </w:pPr>
          </w:p>
        </w:tc>
      </w:tr>
      <w:tr w:rsidR="003C3711" w:rsidRPr="00A252B1" w:rsidTr="003C3711">
        <w:trPr>
          <w:trHeight w:val="20"/>
        </w:trPr>
        <w:tc>
          <w:tcPr>
            <w:tcW w:w="900" w:type="dxa"/>
            <w:shd w:val="clear" w:color="auto" w:fill="auto"/>
            <w:noWrap/>
            <w:vAlign w:val="center"/>
            <w:hideMark/>
          </w:tcPr>
          <w:p w:rsidR="003C3711" w:rsidRPr="00A252B1" w:rsidRDefault="003C3711" w:rsidP="003C3711">
            <w:pPr>
              <w:bidi w:val="0"/>
              <w:spacing w:after="0" w:line="240" w:lineRule="auto"/>
              <w:jc w:val="center"/>
              <w:rPr>
                <w:rFonts w:ascii="David" w:eastAsia="Times New Roman" w:hAnsi="David"/>
                <w:rtl/>
              </w:rPr>
            </w:pPr>
            <w:r w:rsidRPr="00A252B1">
              <w:rPr>
                <w:rFonts w:ascii="David" w:eastAsia="Times New Roman" w:hAnsi="David"/>
              </w:rPr>
              <w:t>26.7%</w:t>
            </w:r>
          </w:p>
        </w:tc>
        <w:tc>
          <w:tcPr>
            <w:tcW w:w="2540" w:type="dxa"/>
            <w:shd w:val="clear" w:color="auto" w:fill="auto"/>
            <w:noWrap/>
            <w:vAlign w:val="center"/>
            <w:hideMark/>
          </w:tcPr>
          <w:p w:rsidR="003C3711" w:rsidRPr="00A252B1" w:rsidRDefault="003C3711" w:rsidP="003C3711">
            <w:pPr>
              <w:bidi w:val="0"/>
              <w:spacing w:after="0" w:line="240" w:lineRule="auto"/>
              <w:jc w:val="center"/>
              <w:rPr>
                <w:rFonts w:ascii="David" w:eastAsia="Times New Roman" w:hAnsi="David"/>
              </w:rPr>
            </w:pPr>
            <w:r w:rsidRPr="00A252B1">
              <w:rPr>
                <w:rFonts w:ascii="David" w:eastAsia="Times New Roman" w:hAnsi="David"/>
              </w:rPr>
              <w:t>13.2%</w:t>
            </w:r>
          </w:p>
        </w:tc>
        <w:tc>
          <w:tcPr>
            <w:tcW w:w="1677" w:type="dxa"/>
            <w:shd w:val="clear" w:color="auto" w:fill="auto"/>
            <w:noWrap/>
            <w:vAlign w:val="center"/>
            <w:hideMark/>
          </w:tcPr>
          <w:p w:rsidR="003C3711" w:rsidRPr="00A252B1" w:rsidRDefault="003C3711" w:rsidP="003C3711">
            <w:pPr>
              <w:bidi w:val="0"/>
              <w:spacing w:after="0" w:line="240" w:lineRule="auto"/>
              <w:jc w:val="center"/>
              <w:rPr>
                <w:rFonts w:ascii="David" w:eastAsia="Times New Roman" w:hAnsi="David"/>
              </w:rPr>
            </w:pPr>
            <w:r w:rsidRPr="00A252B1">
              <w:rPr>
                <w:rFonts w:ascii="David" w:eastAsia="Times New Roman" w:hAnsi="David"/>
              </w:rPr>
              <w:t>13.9%</w:t>
            </w:r>
          </w:p>
        </w:tc>
        <w:tc>
          <w:tcPr>
            <w:tcW w:w="3231" w:type="dxa"/>
            <w:shd w:val="clear" w:color="auto" w:fill="auto"/>
            <w:noWrap/>
            <w:vAlign w:val="center"/>
            <w:hideMark/>
          </w:tcPr>
          <w:p w:rsidR="003C3711" w:rsidRPr="00A252B1" w:rsidRDefault="003C3711" w:rsidP="003C3711">
            <w:pPr>
              <w:spacing w:after="0" w:line="240" w:lineRule="auto"/>
              <w:rPr>
                <w:rFonts w:ascii="David" w:eastAsia="Times New Roman" w:hAnsi="David"/>
                <w:color w:val="000000"/>
              </w:rPr>
            </w:pPr>
            <w:r w:rsidRPr="00A252B1">
              <w:rPr>
                <w:rFonts w:ascii="David" w:eastAsia="Times New Roman" w:hAnsi="David"/>
                <w:color w:val="000000"/>
                <w:rtl/>
              </w:rPr>
              <w:t>מדעי הרוח</w:t>
            </w:r>
            <w:r>
              <w:rPr>
                <w:rFonts w:ascii="David" w:eastAsia="Times New Roman" w:hAnsi="David" w:hint="cs"/>
                <w:color w:val="000000"/>
                <w:rtl/>
              </w:rPr>
              <w:t xml:space="preserve"> וחינוך</w:t>
            </w:r>
          </w:p>
        </w:tc>
        <w:tc>
          <w:tcPr>
            <w:tcW w:w="3231" w:type="dxa"/>
          </w:tcPr>
          <w:p w:rsidR="003C3711" w:rsidRPr="00A252B1" w:rsidRDefault="003C3711" w:rsidP="003C3711">
            <w:pPr>
              <w:spacing w:after="0" w:line="240" w:lineRule="auto"/>
              <w:rPr>
                <w:rFonts w:ascii="David" w:eastAsia="Times New Roman" w:hAnsi="David"/>
                <w:color w:val="000000"/>
                <w:rtl/>
              </w:rPr>
            </w:pPr>
          </w:p>
        </w:tc>
      </w:tr>
      <w:tr w:rsidR="003C3711" w:rsidRPr="00A252B1" w:rsidTr="003C3711">
        <w:trPr>
          <w:trHeight w:val="20"/>
        </w:trPr>
        <w:tc>
          <w:tcPr>
            <w:tcW w:w="900" w:type="dxa"/>
            <w:shd w:val="clear" w:color="auto" w:fill="auto"/>
            <w:noWrap/>
            <w:vAlign w:val="center"/>
            <w:hideMark/>
          </w:tcPr>
          <w:p w:rsidR="003C3711" w:rsidRPr="00A252B1" w:rsidRDefault="003C3711" w:rsidP="003C3711">
            <w:pPr>
              <w:bidi w:val="0"/>
              <w:spacing w:after="0" w:line="240" w:lineRule="auto"/>
              <w:jc w:val="center"/>
              <w:rPr>
                <w:rFonts w:ascii="David" w:eastAsia="Times New Roman" w:hAnsi="David"/>
                <w:rtl/>
              </w:rPr>
            </w:pPr>
            <w:r w:rsidRPr="00A252B1">
              <w:rPr>
                <w:rFonts w:ascii="David" w:eastAsia="Times New Roman" w:hAnsi="David"/>
              </w:rPr>
              <w:t>23.5%</w:t>
            </w:r>
          </w:p>
        </w:tc>
        <w:tc>
          <w:tcPr>
            <w:tcW w:w="2540" w:type="dxa"/>
            <w:shd w:val="clear" w:color="auto" w:fill="auto"/>
            <w:noWrap/>
            <w:vAlign w:val="center"/>
            <w:hideMark/>
          </w:tcPr>
          <w:p w:rsidR="003C3711" w:rsidRPr="00A252B1" w:rsidRDefault="003C3711" w:rsidP="003C3711">
            <w:pPr>
              <w:bidi w:val="0"/>
              <w:spacing w:after="0" w:line="240" w:lineRule="auto"/>
              <w:jc w:val="center"/>
              <w:rPr>
                <w:rFonts w:ascii="David" w:eastAsia="Times New Roman" w:hAnsi="David"/>
              </w:rPr>
            </w:pPr>
            <w:r w:rsidRPr="00A252B1">
              <w:rPr>
                <w:rFonts w:ascii="David" w:eastAsia="Times New Roman" w:hAnsi="David"/>
              </w:rPr>
              <w:t>21.3%</w:t>
            </w:r>
          </w:p>
        </w:tc>
        <w:tc>
          <w:tcPr>
            <w:tcW w:w="1677" w:type="dxa"/>
            <w:shd w:val="clear" w:color="auto" w:fill="auto"/>
            <w:noWrap/>
            <w:vAlign w:val="center"/>
            <w:hideMark/>
          </w:tcPr>
          <w:p w:rsidR="003C3711" w:rsidRPr="00A252B1" w:rsidRDefault="003C3711" w:rsidP="003C3711">
            <w:pPr>
              <w:bidi w:val="0"/>
              <w:spacing w:after="0" w:line="240" w:lineRule="auto"/>
              <w:jc w:val="center"/>
              <w:rPr>
                <w:rFonts w:ascii="David" w:eastAsia="Times New Roman" w:hAnsi="David"/>
              </w:rPr>
            </w:pPr>
            <w:r w:rsidRPr="00A252B1">
              <w:rPr>
                <w:rFonts w:ascii="David" w:eastAsia="Times New Roman" w:hAnsi="David"/>
              </w:rPr>
              <w:t>33.7%</w:t>
            </w:r>
          </w:p>
        </w:tc>
        <w:tc>
          <w:tcPr>
            <w:tcW w:w="3231" w:type="dxa"/>
            <w:shd w:val="clear" w:color="auto" w:fill="auto"/>
            <w:noWrap/>
            <w:vAlign w:val="center"/>
            <w:hideMark/>
          </w:tcPr>
          <w:p w:rsidR="003C3711" w:rsidRPr="00A252B1" w:rsidRDefault="003C3711" w:rsidP="003C3711">
            <w:pPr>
              <w:spacing w:after="0" w:line="240" w:lineRule="auto"/>
              <w:rPr>
                <w:rFonts w:ascii="David" w:eastAsia="Times New Roman" w:hAnsi="David"/>
                <w:color w:val="000000"/>
              </w:rPr>
            </w:pPr>
            <w:r w:rsidRPr="00A252B1">
              <w:rPr>
                <w:rFonts w:ascii="David" w:eastAsia="Times New Roman" w:hAnsi="David"/>
                <w:color w:val="000000"/>
                <w:rtl/>
              </w:rPr>
              <w:t>מדעי החברה</w:t>
            </w:r>
          </w:p>
        </w:tc>
        <w:tc>
          <w:tcPr>
            <w:tcW w:w="3231" w:type="dxa"/>
          </w:tcPr>
          <w:p w:rsidR="003C3711" w:rsidRPr="00A252B1" w:rsidRDefault="003C3711" w:rsidP="003C3711">
            <w:pPr>
              <w:spacing w:after="0" w:line="240" w:lineRule="auto"/>
              <w:rPr>
                <w:rFonts w:ascii="David" w:eastAsia="Times New Roman" w:hAnsi="David"/>
                <w:color w:val="000000"/>
                <w:rtl/>
              </w:rPr>
            </w:pPr>
          </w:p>
        </w:tc>
      </w:tr>
      <w:tr w:rsidR="003C3711" w:rsidRPr="00A252B1" w:rsidTr="003C3711">
        <w:trPr>
          <w:trHeight w:val="20"/>
        </w:trPr>
        <w:tc>
          <w:tcPr>
            <w:tcW w:w="900" w:type="dxa"/>
            <w:shd w:val="clear" w:color="auto" w:fill="auto"/>
            <w:noWrap/>
            <w:vAlign w:val="center"/>
            <w:hideMark/>
          </w:tcPr>
          <w:p w:rsidR="003C3711" w:rsidRPr="00A252B1" w:rsidRDefault="003C3711" w:rsidP="003C3711">
            <w:pPr>
              <w:bidi w:val="0"/>
              <w:spacing w:after="0" w:line="240" w:lineRule="auto"/>
              <w:jc w:val="center"/>
              <w:rPr>
                <w:rFonts w:ascii="David" w:eastAsia="Times New Roman" w:hAnsi="David"/>
                <w:rtl/>
              </w:rPr>
            </w:pPr>
            <w:r w:rsidRPr="00A252B1">
              <w:rPr>
                <w:rFonts w:ascii="David" w:eastAsia="Times New Roman" w:hAnsi="David"/>
              </w:rPr>
              <w:t>12.8%</w:t>
            </w:r>
          </w:p>
        </w:tc>
        <w:tc>
          <w:tcPr>
            <w:tcW w:w="2540" w:type="dxa"/>
            <w:shd w:val="clear" w:color="auto" w:fill="auto"/>
            <w:noWrap/>
            <w:vAlign w:val="center"/>
            <w:hideMark/>
          </w:tcPr>
          <w:p w:rsidR="003C3711" w:rsidRPr="00A252B1" w:rsidRDefault="003C3711" w:rsidP="003C3711">
            <w:pPr>
              <w:bidi w:val="0"/>
              <w:spacing w:after="0" w:line="240" w:lineRule="auto"/>
              <w:jc w:val="center"/>
              <w:rPr>
                <w:rFonts w:ascii="David" w:eastAsia="Times New Roman" w:hAnsi="David"/>
              </w:rPr>
            </w:pPr>
            <w:r w:rsidRPr="00A252B1">
              <w:rPr>
                <w:rFonts w:ascii="David" w:eastAsia="Times New Roman" w:hAnsi="David"/>
              </w:rPr>
              <w:t>23.3%</w:t>
            </w:r>
          </w:p>
        </w:tc>
        <w:tc>
          <w:tcPr>
            <w:tcW w:w="1677" w:type="dxa"/>
            <w:shd w:val="clear" w:color="auto" w:fill="auto"/>
            <w:noWrap/>
            <w:vAlign w:val="center"/>
            <w:hideMark/>
          </w:tcPr>
          <w:p w:rsidR="003C3711" w:rsidRPr="00A252B1" w:rsidRDefault="003C3711" w:rsidP="003C3711">
            <w:pPr>
              <w:bidi w:val="0"/>
              <w:spacing w:after="0" w:line="240" w:lineRule="auto"/>
              <w:jc w:val="center"/>
              <w:rPr>
                <w:rFonts w:ascii="David" w:eastAsia="Times New Roman" w:hAnsi="David"/>
              </w:rPr>
            </w:pPr>
            <w:r w:rsidRPr="00A252B1">
              <w:rPr>
                <w:rFonts w:ascii="David" w:eastAsia="Times New Roman" w:hAnsi="David"/>
              </w:rPr>
              <w:t>7.6%</w:t>
            </w:r>
          </w:p>
        </w:tc>
        <w:tc>
          <w:tcPr>
            <w:tcW w:w="3231" w:type="dxa"/>
            <w:shd w:val="clear" w:color="auto" w:fill="auto"/>
            <w:noWrap/>
            <w:vAlign w:val="center"/>
            <w:hideMark/>
          </w:tcPr>
          <w:p w:rsidR="003C3711" w:rsidRPr="00A252B1" w:rsidRDefault="003C3711" w:rsidP="003C3711">
            <w:pPr>
              <w:spacing w:after="0" w:line="240" w:lineRule="auto"/>
              <w:rPr>
                <w:rFonts w:ascii="David" w:eastAsia="Times New Roman" w:hAnsi="David"/>
                <w:color w:val="000000"/>
              </w:rPr>
            </w:pPr>
            <w:r w:rsidRPr="00A252B1">
              <w:rPr>
                <w:rFonts w:ascii="David" w:eastAsia="Times New Roman" w:hAnsi="David"/>
                <w:color w:val="000000"/>
                <w:rtl/>
              </w:rPr>
              <w:t>עסקים ומדעי הניהול</w:t>
            </w:r>
          </w:p>
        </w:tc>
        <w:tc>
          <w:tcPr>
            <w:tcW w:w="3231" w:type="dxa"/>
          </w:tcPr>
          <w:p w:rsidR="003C3711" w:rsidRPr="00A252B1" w:rsidRDefault="003C3711" w:rsidP="003C3711">
            <w:pPr>
              <w:spacing w:after="0" w:line="240" w:lineRule="auto"/>
              <w:rPr>
                <w:rFonts w:ascii="David" w:eastAsia="Times New Roman" w:hAnsi="David"/>
                <w:color w:val="000000"/>
                <w:rtl/>
              </w:rPr>
            </w:pPr>
          </w:p>
        </w:tc>
      </w:tr>
      <w:tr w:rsidR="003C3711" w:rsidRPr="00A252B1" w:rsidTr="003C3711">
        <w:trPr>
          <w:trHeight w:val="20"/>
        </w:trPr>
        <w:tc>
          <w:tcPr>
            <w:tcW w:w="900" w:type="dxa"/>
            <w:shd w:val="clear" w:color="auto" w:fill="auto"/>
            <w:noWrap/>
            <w:vAlign w:val="center"/>
            <w:hideMark/>
          </w:tcPr>
          <w:p w:rsidR="003C3711" w:rsidRPr="00A252B1" w:rsidRDefault="003C3711" w:rsidP="003C3711">
            <w:pPr>
              <w:bidi w:val="0"/>
              <w:spacing w:after="0" w:line="240" w:lineRule="auto"/>
              <w:jc w:val="center"/>
              <w:rPr>
                <w:rFonts w:ascii="David" w:eastAsia="Times New Roman" w:hAnsi="David"/>
                <w:rtl/>
              </w:rPr>
            </w:pPr>
            <w:r w:rsidRPr="00A252B1">
              <w:rPr>
                <w:rFonts w:ascii="David" w:eastAsia="Times New Roman" w:hAnsi="David"/>
              </w:rPr>
              <w:t>6.3%</w:t>
            </w:r>
          </w:p>
        </w:tc>
        <w:tc>
          <w:tcPr>
            <w:tcW w:w="2540" w:type="dxa"/>
            <w:shd w:val="clear" w:color="auto" w:fill="auto"/>
            <w:noWrap/>
            <w:vAlign w:val="center"/>
            <w:hideMark/>
          </w:tcPr>
          <w:p w:rsidR="003C3711" w:rsidRPr="00A252B1" w:rsidRDefault="003C3711" w:rsidP="003C3711">
            <w:pPr>
              <w:bidi w:val="0"/>
              <w:spacing w:after="0" w:line="240" w:lineRule="auto"/>
              <w:jc w:val="center"/>
              <w:rPr>
                <w:rFonts w:ascii="David" w:eastAsia="Times New Roman" w:hAnsi="David"/>
              </w:rPr>
            </w:pPr>
            <w:r w:rsidRPr="00A252B1">
              <w:rPr>
                <w:rFonts w:ascii="David" w:eastAsia="Times New Roman" w:hAnsi="David"/>
              </w:rPr>
              <w:t>12.5%</w:t>
            </w:r>
          </w:p>
        </w:tc>
        <w:tc>
          <w:tcPr>
            <w:tcW w:w="1677" w:type="dxa"/>
            <w:shd w:val="clear" w:color="auto" w:fill="auto"/>
            <w:noWrap/>
            <w:vAlign w:val="center"/>
            <w:hideMark/>
          </w:tcPr>
          <w:p w:rsidR="003C3711" w:rsidRPr="00A252B1" w:rsidRDefault="003C3711" w:rsidP="003C3711">
            <w:pPr>
              <w:bidi w:val="0"/>
              <w:spacing w:after="0" w:line="240" w:lineRule="auto"/>
              <w:jc w:val="center"/>
              <w:rPr>
                <w:rFonts w:ascii="David" w:eastAsia="Times New Roman" w:hAnsi="David"/>
              </w:rPr>
            </w:pPr>
            <w:r w:rsidRPr="00A252B1">
              <w:rPr>
                <w:rFonts w:ascii="David" w:eastAsia="Times New Roman" w:hAnsi="David"/>
              </w:rPr>
              <w:t>2.7%</w:t>
            </w:r>
          </w:p>
        </w:tc>
        <w:tc>
          <w:tcPr>
            <w:tcW w:w="3231" w:type="dxa"/>
            <w:shd w:val="clear" w:color="auto" w:fill="auto"/>
            <w:noWrap/>
            <w:vAlign w:val="center"/>
            <w:hideMark/>
          </w:tcPr>
          <w:p w:rsidR="003C3711" w:rsidRPr="00A252B1" w:rsidRDefault="003C3711" w:rsidP="003C3711">
            <w:pPr>
              <w:spacing w:after="0" w:line="240" w:lineRule="auto"/>
              <w:rPr>
                <w:rFonts w:ascii="David" w:eastAsia="Times New Roman" w:hAnsi="David"/>
                <w:color w:val="000000"/>
              </w:rPr>
            </w:pPr>
            <w:r w:rsidRPr="00A252B1">
              <w:rPr>
                <w:rFonts w:ascii="David" w:eastAsia="Times New Roman" w:hAnsi="David"/>
                <w:color w:val="000000"/>
                <w:rtl/>
              </w:rPr>
              <w:t>משפטים</w:t>
            </w:r>
          </w:p>
        </w:tc>
        <w:tc>
          <w:tcPr>
            <w:tcW w:w="3231" w:type="dxa"/>
          </w:tcPr>
          <w:p w:rsidR="003C3711" w:rsidRPr="00A252B1" w:rsidRDefault="003C3711" w:rsidP="003C3711">
            <w:pPr>
              <w:spacing w:after="0" w:line="240" w:lineRule="auto"/>
              <w:rPr>
                <w:rFonts w:ascii="David" w:eastAsia="Times New Roman" w:hAnsi="David"/>
                <w:color w:val="000000"/>
                <w:rtl/>
              </w:rPr>
            </w:pPr>
          </w:p>
        </w:tc>
      </w:tr>
      <w:tr w:rsidR="003C3711" w:rsidRPr="00A252B1" w:rsidTr="003C3711">
        <w:trPr>
          <w:trHeight w:val="20"/>
        </w:trPr>
        <w:tc>
          <w:tcPr>
            <w:tcW w:w="900" w:type="dxa"/>
            <w:shd w:val="clear" w:color="auto" w:fill="auto"/>
            <w:noWrap/>
            <w:vAlign w:val="center"/>
            <w:hideMark/>
          </w:tcPr>
          <w:p w:rsidR="003C3711" w:rsidRPr="00A252B1" w:rsidRDefault="003C3711" w:rsidP="003C3711">
            <w:pPr>
              <w:bidi w:val="0"/>
              <w:spacing w:after="0" w:line="240" w:lineRule="auto"/>
              <w:jc w:val="center"/>
              <w:rPr>
                <w:rFonts w:ascii="David" w:eastAsia="Times New Roman" w:hAnsi="David"/>
                <w:rtl/>
              </w:rPr>
            </w:pPr>
            <w:r w:rsidRPr="00A252B1">
              <w:rPr>
                <w:rFonts w:ascii="David" w:eastAsia="Times New Roman" w:hAnsi="David"/>
              </w:rPr>
              <w:t>1.2%</w:t>
            </w:r>
          </w:p>
        </w:tc>
        <w:tc>
          <w:tcPr>
            <w:tcW w:w="2540" w:type="dxa"/>
            <w:shd w:val="clear" w:color="auto" w:fill="auto"/>
            <w:noWrap/>
            <w:vAlign w:val="center"/>
            <w:hideMark/>
          </w:tcPr>
          <w:p w:rsidR="003C3711" w:rsidRPr="00A252B1" w:rsidRDefault="003C3711" w:rsidP="003C3711">
            <w:pPr>
              <w:bidi w:val="0"/>
              <w:spacing w:after="0" w:line="240" w:lineRule="auto"/>
              <w:jc w:val="center"/>
              <w:rPr>
                <w:rFonts w:ascii="David" w:eastAsia="Times New Roman" w:hAnsi="David"/>
              </w:rPr>
            </w:pPr>
            <w:r w:rsidRPr="00A252B1">
              <w:rPr>
                <w:rFonts w:ascii="David" w:eastAsia="Times New Roman" w:hAnsi="David"/>
              </w:rPr>
              <w:t>-</w:t>
            </w:r>
          </w:p>
        </w:tc>
        <w:tc>
          <w:tcPr>
            <w:tcW w:w="1677" w:type="dxa"/>
            <w:shd w:val="clear" w:color="auto" w:fill="auto"/>
            <w:noWrap/>
            <w:vAlign w:val="center"/>
            <w:hideMark/>
          </w:tcPr>
          <w:p w:rsidR="003C3711" w:rsidRPr="00A252B1" w:rsidRDefault="003C3711" w:rsidP="003C3711">
            <w:pPr>
              <w:bidi w:val="0"/>
              <w:spacing w:after="0" w:line="240" w:lineRule="auto"/>
              <w:jc w:val="center"/>
              <w:rPr>
                <w:rFonts w:ascii="David" w:eastAsia="Times New Roman" w:hAnsi="David"/>
              </w:rPr>
            </w:pPr>
            <w:r w:rsidRPr="00A252B1">
              <w:rPr>
                <w:rFonts w:ascii="David" w:eastAsia="Times New Roman" w:hAnsi="David"/>
              </w:rPr>
              <w:t>2.7%</w:t>
            </w:r>
          </w:p>
        </w:tc>
        <w:tc>
          <w:tcPr>
            <w:tcW w:w="3231" w:type="dxa"/>
            <w:shd w:val="clear" w:color="auto" w:fill="auto"/>
            <w:noWrap/>
            <w:vAlign w:val="center"/>
            <w:hideMark/>
          </w:tcPr>
          <w:p w:rsidR="003C3711" w:rsidRPr="00A252B1" w:rsidRDefault="003C3711" w:rsidP="003C3711">
            <w:pPr>
              <w:spacing w:after="0" w:line="240" w:lineRule="auto"/>
              <w:rPr>
                <w:rFonts w:ascii="David" w:eastAsia="Times New Roman" w:hAnsi="David"/>
                <w:color w:val="000000"/>
              </w:rPr>
            </w:pPr>
            <w:r w:rsidRPr="00A252B1">
              <w:rPr>
                <w:rFonts w:ascii="David" w:eastAsia="Times New Roman" w:hAnsi="David"/>
                <w:color w:val="000000"/>
                <w:rtl/>
              </w:rPr>
              <w:t>רפואה</w:t>
            </w:r>
          </w:p>
        </w:tc>
        <w:tc>
          <w:tcPr>
            <w:tcW w:w="3231" w:type="dxa"/>
          </w:tcPr>
          <w:p w:rsidR="003C3711" w:rsidRPr="00A252B1" w:rsidRDefault="003C3711" w:rsidP="003C3711">
            <w:pPr>
              <w:spacing w:after="0" w:line="240" w:lineRule="auto"/>
              <w:rPr>
                <w:rFonts w:ascii="David" w:eastAsia="Times New Roman" w:hAnsi="David"/>
                <w:color w:val="000000"/>
                <w:rtl/>
              </w:rPr>
            </w:pPr>
          </w:p>
        </w:tc>
      </w:tr>
      <w:tr w:rsidR="003C3711" w:rsidRPr="00A252B1" w:rsidTr="003C3711">
        <w:trPr>
          <w:trHeight w:val="20"/>
        </w:trPr>
        <w:tc>
          <w:tcPr>
            <w:tcW w:w="900" w:type="dxa"/>
            <w:shd w:val="clear" w:color="auto" w:fill="auto"/>
            <w:noWrap/>
            <w:vAlign w:val="center"/>
            <w:hideMark/>
          </w:tcPr>
          <w:p w:rsidR="003C3711" w:rsidRPr="00A252B1" w:rsidRDefault="003C3711" w:rsidP="003C3711">
            <w:pPr>
              <w:bidi w:val="0"/>
              <w:spacing w:after="0" w:line="240" w:lineRule="auto"/>
              <w:jc w:val="center"/>
              <w:rPr>
                <w:rFonts w:ascii="David" w:eastAsia="Times New Roman" w:hAnsi="David"/>
                <w:rtl/>
              </w:rPr>
            </w:pPr>
            <w:r w:rsidRPr="00A252B1">
              <w:rPr>
                <w:rFonts w:ascii="David" w:eastAsia="Times New Roman" w:hAnsi="David"/>
              </w:rPr>
              <w:t>6.1%</w:t>
            </w:r>
          </w:p>
        </w:tc>
        <w:tc>
          <w:tcPr>
            <w:tcW w:w="2540" w:type="dxa"/>
            <w:shd w:val="clear" w:color="auto" w:fill="auto"/>
            <w:noWrap/>
            <w:vAlign w:val="center"/>
            <w:hideMark/>
          </w:tcPr>
          <w:p w:rsidR="003C3711" w:rsidRPr="00A252B1" w:rsidRDefault="003C3711" w:rsidP="003C3711">
            <w:pPr>
              <w:bidi w:val="0"/>
              <w:spacing w:after="0" w:line="240" w:lineRule="auto"/>
              <w:jc w:val="center"/>
              <w:rPr>
                <w:rFonts w:ascii="David" w:eastAsia="Times New Roman" w:hAnsi="David"/>
              </w:rPr>
            </w:pPr>
            <w:r w:rsidRPr="00A252B1">
              <w:rPr>
                <w:rFonts w:ascii="David" w:eastAsia="Times New Roman" w:hAnsi="David"/>
              </w:rPr>
              <w:t>7.0%</w:t>
            </w:r>
          </w:p>
        </w:tc>
        <w:tc>
          <w:tcPr>
            <w:tcW w:w="1677" w:type="dxa"/>
            <w:shd w:val="clear" w:color="auto" w:fill="auto"/>
            <w:noWrap/>
            <w:vAlign w:val="center"/>
            <w:hideMark/>
          </w:tcPr>
          <w:p w:rsidR="003C3711" w:rsidRPr="00A252B1" w:rsidRDefault="003C3711" w:rsidP="003C3711">
            <w:pPr>
              <w:bidi w:val="0"/>
              <w:spacing w:after="0" w:line="240" w:lineRule="auto"/>
              <w:jc w:val="center"/>
              <w:rPr>
                <w:rFonts w:ascii="David" w:eastAsia="Times New Roman" w:hAnsi="David"/>
              </w:rPr>
            </w:pPr>
            <w:r w:rsidRPr="00A252B1">
              <w:rPr>
                <w:rFonts w:ascii="David" w:eastAsia="Times New Roman" w:hAnsi="David"/>
              </w:rPr>
              <w:t>7.4%</w:t>
            </w:r>
          </w:p>
        </w:tc>
        <w:tc>
          <w:tcPr>
            <w:tcW w:w="3231" w:type="dxa"/>
            <w:shd w:val="clear" w:color="auto" w:fill="auto"/>
            <w:noWrap/>
            <w:vAlign w:val="center"/>
            <w:hideMark/>
          </w:tcPr>
          <w:p w:rsidR="003C3711" w:rsidRPr="00A252B1" w:rsidRDefault="003C3711" w:rsidP="003C3711">
            <w:pPr>
              <w:spacing w:after="0" w:line="240" w:lineRule="auto"/>
              <w:rPr>
                <w:rFonts w:ascii="David" w:eastAsia="Times New Roman" w:hAnsi="David"/>
                <w:color w:val="000000"/>
              </w:rPr>
            </w:pPr>
            <w:r w:rsidRPr="00A252B1">
              <w:rPr>
                <w:rFonts w:ascii="David" w:eastAsia="Times New Roman" w:hAnsi="David"/>
                <w:color w:val="000000"/>
                <w:rtl/>
              </w:rPr>
              <w:t>מקצועות עזר רפואיים</w:t>
            </w:r>
          </w:p>
        </w:tc>
        <w:tc>
          <w:tcPr>
            <w:tcW w:w="3231" w:type="dxa"/>
          </w:tcPr>
          <w:p w:rsidR="003C3711" w:rsidRPr="00A252B1" w:rsidRDefault="003C3711" w:rsidP="003C3711">
            <w:pPr>
              <w:spacing w:after="0" w:line="240" w:lineRule="auto"/>
              <w:rPr>
                <w:rFonts w:ascii="David" w:eastAsia="Times New Roman" w:hAnsi="David"/>
                <w:color w:val="000000"/>
                <w:rtl/>
              </w:rPr>
            </w:pPr>
          </w:p>
        </w:tc>
      </w:tr>
      <w:tr w:rsidR="003C3711" w:rsidRPr="00A252B1" w:rsidTr="003C3711">
        <w:trPr>
          <w:trHeight w:val="20"/>
        </w:trPr>
        <w:tc>
          <w:tcPr>
            <w:tcW w:w="900" w:type="dxa"/>
            <w:shd w:val="clear" w:color="auto" w:fill="auto"/>
            <w:noWrap/>
            <w:vAlign w:val="center"/>
            <w:hideMark/>
          </w:tcPr>
          <w:p w:rsidR="003C3711" w:rsidRPr="00A252B1" w:rsidRDefault="003C3711" w:rsidP="003C3711">
            <w:pPr>
              <w:bidi w:val="0"/>
              <w:spacing w:after="0" w:line="240" w:lineRule="auto"/>
              <w:jc w:val="center"/>
              <w:rPr>
                <w:rFonts w:ascii="David" w:eastAsia="Times New Roman" w:hAnsi="David"/>
                <w:rtl/>
              </w:rPr>
            </w:pPr>
            <w:r w:rsidRPr="00A252B1">
              <w:rPr>
                <w:rFonts w:ascii="David" w:eastAsia="Times New Roman" w:hAnsi="David"/>
              </w:rPr>
              <w:t>10.3%</w:t>
            </w:r>
          </w:p>
        </w:tc>
        <w:tc>
          <w:tcPr>
            <w:tcW w:w="2540" w:type="dxa"/>
            <w:shd w:val="clear" w:color="auto" w:fill="auto"/>
            <w:noWrap/>
            <w:vAlign w:val="center"/>
            <w:hideMark/>
          </w:tcPr>
          <w:p w:rsidR="003C3711" w:rsidRPr="00A252B1" w:rsidRDefault="003C3711" w:rsidP="003C3711">
            <w:pPr>
              <w:bidi w:val="0"/>
              <w:spacing w:after="0" w:line="240" w:lineRule="auto"/>
              <w:jc w:val="center"/>
              <w:rPr>
                <w:rFonts w:ascii="David" w:eastAsia="Times New Roman" w:hAnsi="David"/>
              </w:rPr>
            </w:pPr>
            <w:r w:rsidRPr="00A252B1">
              <w:rPr>
                <w:rFonts w:ascii="David" w:eastAsia="Times New Roman" w:hAnsi="David"/>
              </w:rPr>
              <w:t>8.9%</w:t>
            </w:r>
          </w:p>
        </w:tc>
        <w:tc>
          <w:tcPr>
            <w:tcW w:w="1677" w:type="dxa"/>
            <w:shd w:val="clear" w:color="auto" w:fill="auto"/>
            <w:noWrap/>
            <w:vAlign w:val="center"/>
            <w:hideMark/>
          </w:tcPr>
          <w:p w:rsidR="003C3711" w:rsidRPr="00A252B1" w:rsidRDefault="003C3711" w:rsidP="003C3711">
            <w:pPr>
              <w:bidi w:val="0"/>
              <w:spacing w:after="0" w:line="240" w:lineRule="auto"/>
              <w:jc w:val="center"/>
              <w:rPr>
                <w:rFonts w:ascii="David" w:eastAsia="Times New Roman" w:hAnsi="David"/>
              </w:rPr>
            </w:pPr>
            <w:r w:rsidRPr="00A252B1">
              <w:rPr>
                <w:rFonts w:ascii="David" w:eastAsia="Times New Roman" w:hAnsi="David"/>
              </w:rPr>
              <w:t>15.1%</w:t>
            </w:r>
          </w:p>
        </w:tc>
        <w:tc>
          <w:tcPr>
            <w:tcW w:w="3231" w:type="dxa"/>
            <w:shd w:val="clear" w:color="auto" w:fill="auto"/>
            <w:noWrap/>
            <w:vAlign w:val="center"/>
            <w:hideMark/>
          </w:tcPr>
          <w:p w:rsidR="003C3711" w:rsidRPr="00A252B1" w:rsidRDefault="003C3711" w:rsidP="003C3711">
            <w:pPr>
              <w:spacing w:after="0" w:line="240" w:lineRule="auto"/>
              <w:rPr>
                <w:rFonts w:ascii="David" w:eastAsia="Times New Roman" w:hAnsi="David"/>
                <w:color w:val="000000"/>
              </w:rPr>
            </w:pPr>
            <w:r>
              <w:rPr>
                <w:rFonts w:ascii="David" w:eastAsia="Times New Roman" w:hAnsi="David"/>
                <w:color w:val="000000"/>
                <w:rtl/>
              </w:rPr>
              <w:t>מדעי הטבע</w:t>
            </w:r>
            <w:r>
              <w:rPr>
                <w:rFonts w:ascii="David" w:eastAsia="Times New Roman" w:hAnsi="David" w:hint="cs"/>
                <w:color w:val="000000"/>
                <w:rtl/>
              </w:rPr>
              <w:t xml:space="preserve">, </w:t>
            </w:r>
            <w:r w:rsidRPr="00A252B1">
              <w:rPr>
                <w:rFonts w:ascii="David" w:eastAsia="Times New Roman" w:hAnsi="David"/>
                <w:color w:val="000000"/>
                <w:rtl/>
              </w:rPr>
              <w:t>מתמטיקה וחקלאות</w:t>
            </w:r>
          </w:p>
        </w:tc>
        <w:tc>
          <w:tcPr>
            <w:tcW w:w="3231" w:type="dxa"/>
          </w:tcPr>
          <w:p w:rsidR="003C3711" w:rsidRDefault="003C3711" w:rsidP="003C3711">
            <w:pPr>
              <w:spacing w:after="0" w:line="240" w:lineRule="auto"/>
              <w:rPr>
                <w:rFonts w:ascii="David" w:eastAsia="Times New Roman" w:hAnsi="David"/>
                <w:color w:val="000000"/>
                <w:rtl/>
              </w:rPr>
            </w:pPr>
          </w:p>
        </w:tc>
      </w:tr>
      <w:tr w:rsidR="003C3711" w:rsidRPr="00A252B1" w:rsidTr="003C3711">
        <w:trPr>
          <w:trHeight w:val="20"/>
        </w:trPr>
        <w:tc>
          <w:tcPr>
            <w:tcW w:w="900" w:type="dxa"/>
            <w:shd w:val="clear" w:color="auto" w:fill="auto"/>
            <w:noWrap/>
            <w:vAlign w:val="center"/>
            <w:hideMark/>
          </w:tcPr>
          <w:p w:rsidR="003C3711" w:rsidRPr="00A252B1" w:rsidRDefault="003C3711" w:rsidP="003C3711">
            <w:pPr>
              <w:bidi w:val="0"/>
              <w:spacing w:after="0" w:line="240" w:lineRule="auto"/>
              <w:jc w:val="center"/>
              <w:rPr>
                <w:rFonts w:ascii="David" w:eastAsia="Times New Roman" w:hAnsi="David"/>
                <w:rtl/>
              </w:rPr>
            </w:pPr>
            <w:r w:rsidRPr="00A252B1">
              <w:rPr>
                <w:rFonts w:ascii="David" w:eastAsia="Times New Roman" w:hAnsi="David"/>
              </w:rPr>
              <w:t>13.1%</w:t>
            </w:r>
          </w:p>
        </w:tc>
        <w:tc>
          <w:tcPr>
            <w:tcW w:w="2540" w:type="dxa"/>
            <w:shd w:val="clear" w:color="auto" w:fill="auto"/>
            <w:noWrap/>
            <w:vAlign w:val="center"/>
            <w:hideMark/>
          </w:tcPr>
          <w:p w:rsidR="003C3711" w:rsidRPr="00A252B1" w:rsidRDefault="003C3711" w:rsidP="003C3711">
            <w:pPr>
              <w:bidi w:val="0"/>
              <w:spacing w:after="0" w:line="240" w:lineRule="auto"/>
              <w:jc w:val="center"/>
              <w:rPr>
                <w:rFonts w:ascii="David" w:eastAsia="Times New Roman" w:hAnsi="David"/>
              </w:rPr>
            </w:pPr>
            <w:r w:rsidRPr="00A252B1">
              <w:rPr>
                <w:rFonts w:ascii="David" w:eastAsia="Times New Roman" w:hAnsi="David"/>
              </w:rPr>
              <w:t>13.9%</w:t>
            </w:r>
          </w:p>
        </w:tc>
        <w:tc>
          <w:tcPr>
            <w:tcW w:w="1677" w:type="dxa"/>
            <w:shd w:val="clear" w:color="auto" w:fill="auto"/>
            <w:noWrap/>
            <w:vAlign w:val="center"/>
            <w:hideMark/>
          </w:tcPr>
          <w:p w:rsidR="003C3711" w:rsidRPr="00A252B1" w:rsidRDefault="003C3711" w:rsidP="003C3711">
            <w:pPr>
              <w:bidi w:val="0"/>
              <w:spacing w:after="0" w:line="240" w:lineRule="auto"/>
              <w:jc w:val="center"/>
              <w:rPr>
                <w:rFonts w:ascii="David" w:eastAsia="Times New Roman" w:hAnsi="David"/>
              </w:rPr>
            </w:pPr>
            <w:r w:rsidRPr="00A252B1">
              <w:rPr>
                <w:rFonts w:ascii="David" w:eastAsia="Times New Roman" w:hAnsi="David"/>
              </w:rPr>
              <w:t>16.8%</w:t>
            </w:r>
          </w:p>
        </w:tc>
        <w:tc>
          <w:tcPr>
            <w:tcW w:w="3231" w:type="dxa"/>
            <w:shd w:val="clear" w:color="auto" w:fill="auto"/>
            <w:noWrap/>
            <w:vAlign w:val="center"/>
            <w:hideMark/>
          </w:tcPr>
          <w:p w:rsidR="003C3711" w:rsidRPr="00A252B1" w:rsidRDefault="003C3711" w:rsidP="003C3711">
            <w:pPr>
              <w:spacing w:after="0" w:line="240" w:lineRule="auto"/>
              <w:rPr>
                <w:rFonts w:ascii="David" w:eastAsia="Times New Roman" w:hAnsi="David"/>
                <w:color w:val="000000"/>
              </w:rPr>
            </w:pPr>
            <w:r w:rsidRPr="00A252B1">
              <w:rPr>
                <w:rFonts w:ascii="David" w:eastAsia="Times New Roman" w:hAnsi="David"/>
                <w:color w:val="000000"/>
                <w:rtl/>
              </w:rPr>
              <w:t>הנדסה ואדריכלות</w:t>
            </w:r>
          </w:p>
        </w:tc>
        <w:tc>
          <w:tcPr>
            <w:tcW w:w="3231" w:type="dxa"/>
          </w:tcPr>
          <w:p w:rsidR="003C3711" w:rsidRPr="00A252B1" w:rsidRDefault="003C3711" w:rsidP="003C3711">
            <w:pPr>
              <w:spacing w:after="0" w:line="240" w:lineRule="auto"/>
              <w:rPr>
                <w:rFonts w:ascii="David" w:eastAsia="Times New Roman" w:hAnsi="David"/>
                <w:color w:val="000000"/>
                <w:rtl/>
              </w:rPr>
            </w:pPr>
          </w:p>
        </w:tc>
      </w:tr>
    </w:tbl>
    <w:p w:rsidR="003C3711" w:rsidRPr="007A2076" w:rsidRDefault="003C3711" w:rsidP="003C3711">
      <w:pPr>
        <w:spacing w:line="240" w:lineRule="auto"/>
        <w:rPr>
          <w:rFonts w:ascii="David" w:hAnsi="David"/>
          <w:sz w:val="20"/>
          <w:szCs w:val="20"/>
          <w:rtl/>
        </w:rPr>
      </w:pPr>
      <w:r>
        <w:rPr>
          <w:rFonts w:ascii="David" w:hAnsi="David" w:hint="cs"/>
          <w:sz w:val="20"/>
          <w:szCs w:val="20"/>
          <w:rtl/>
        </w:rPr>
        <w:t xml:space="preserve">מקור: הלשכה המרכזית לסטטיסטיקה. </w:t>
      </w:r>
      <w:r w:rsidRPr="007A2076">
        <w:rPr>
          <w:rFonts w:ascii="David" w:hAnsi="David"/>
          <w:sz w:val="20"/>
          <w:szCs w:val="20"/>
          <w:rtl/>
        </w:rPr>
        <w:t>* כולל האוניברסיטה הפתוחה.</w:t>
      </w:r>
      <w:r>
        <w:rPr>
          <w:rFonts w:ascii="David" w:hAnsi="David" w:hint="cs"/>
          <w:sz w:val="20"/>
          <w:szCs w:val="20"/>
          <w:rtl/>
        </w:rPr>
        <w:t xml:space="preserve"> </w:t>
      </w:r>
      <w:r w:rsidRPr="007A2076">
        <w:rPr>
          <w:rFonts w:ascii="David" w:hAnsi="David" w:hint="cs"/>
          <w:sz w:val="20"/>
          <w:szCs w:val="20"/>
          <w:rtl/>
        </w:rPr>
        <w:t>*</w:t>
      </w:r>
      <w:r w:rsidRPr="007A2076">
        <w:rPr>
          <w:rFonts w:ascii="David" w:hAnsi="David"/>
          <w:sz w:val="20"/>
          <w:szCs w:val="20"/>
          <w:rtl/>
        </w:rPr>
        <w:t>* כולל המכללות האקדמיות לחינוך שבהן כל מקבלי התואר הראשון למדו את מקצועות החינוך וההכשרה להוראה, המשויכים לתחום מדעי הרוח.</w:t>
      </w:r>
    </w:p>
    <w:p w:rsidR="003C3711" w:rsidRDefault="003C3711" w:rsidP="003C3711">
      <w:pPr>
        <w:rPr>
          <w:rFonts w:ascii="David" w:hAnsi="David"/>
          <w:rtl/>
        </w:rPr>
      </w:pPr>
    </w:p>
    <w:p w:rsidR="003C3711" w:rsidRDefault="003C3711" w:rsidP="003C3711">
      <w:pPr>
        <w:rPr>
          <w:rFonts w:ascii="David" w:hAnsi="David"/>
          <w:b/>
          <w:bCs/>
          <w:rtl/>
        </w:rPr>
      </w:pPr>
      <w:r w:rsidRPr="00A94E64">
        <w:rPr>
          <w:rFonts w:ascii="David" w:hAnsi="David" w:hint="cs"/>
          <w:b/>
          <w:bCs/>
          <w:rtl/>
        </w:rPr>
        <w:t>שכר בוגרי מערכת ההשכלה הגבוהה</w:t>
      </w:r>
    </w:p>
    <w:p w:rsidR="003C3711" w:rsidRDefault="003C3711" w:rsidP="003C3711">
      <w:pPr>
        <w:rPr>
          <w:rFonts w:ascii="David" w:hAnsi="David"/>
          <w:rtl/>
        </w:rPr>
      </w:pPr>
      <w:r>
        <w:rPr>
          <w:rFonts w:ascii="David" w:hAnsi="David" w:hint="cs"/>
          <w:rtl/>
        </w:rPr>
        <w:lastRenderedPageBreak/>
        <w:t xml:space="preserve">מטרתם של לימודים במסגרת מערכת ההשכלה הגבוהה אינה בהכרח רק הכשרה מקצועית, אלא באופן כללי יותר הקניית ידע והשכלה במקביל לצבירת כלים לקריירה שתניב סיפוק אישי ומקצועי. עם זאת, להשכלה הגבוהה השלכות משמעותיות על יכולת ההשתכרות בשוק העבודה לאחר סיום התואר וחלק זה בסקירה יתמקד בהיבט זה. הניתוח שיוצג להלן אינו מבוסס על ניתוח סטטיסטי מורכב אשר שולט באלמנטים כגון יכולות הפרטים או הרקע החברתי-כלכלי ממנו הם מגיעים כפי שנעשה למשל במחקרים שפורסמו לאחרונה בנוגע להשפעת מקצוע הלימוד על השכר (קריל ואחרים, 2019) וסוג מוסד הלימודים (אחדות ואחרים, 2018). החשיבות של שליטה מסוג זה על משתני רקע חשובה על מנת לזהות את הקשר הסיבתי בין התואר לשכר. כך, יתכן כי הסיבה ליכולת ההשתכרות הגבוהה של בוגרי תואר יוקרתי אינה נובעת מהתואר עצמו אלא מכך שלסטודנטים שלומדים את התואר יכולות גבוהות מלכתחילה. לפיכך, על מנת לשלוט במידה מסוימת על הרקע ממנו מגיעים הבוגרים, נציג ברבים מהתרשימים בסקירה זו את הציון הפסיכומטרי הממוצע במקביל לשכר. </w:t>
      </w:r>
    </w:p>
    <w:p w:rsidR="003C3711" w:rsidRDefault="003C3711" w:rsidP="003C3711">
      <w:pPr>
        <w:rPr>
          <w:rFonts w:ascii="David" w:hAnsi="David"/>
          <w:rtl/>
        </w:rPr>
      </w:pPr>
      <w:r>
        <w:rPr>
          <w:rFonts w:ascii="David" w:hAnsi="David" w:hint="cs"/>
          <w:rtl/>
        </w:rPr>
        <w:t>תרשים ש1 מציג את השכר הממוצע (ציר ה-</w:t>
      </w:r>
      <w:r>
        <w:rPr>
          <w:rFonts w:ascii="David" w:hAnsi="David" w:hint="cs"/>
        </w:rPr>
        <w:t>Y</w:t>
      </w:r>
      <w:r>
        <w:rPr>
          <w:rFonts w:ascii="David" w:hAnsi="David" w:hint="cs"/>
          <w:rtl/>
        </w:rPr>
        <w:t>) מול הציון הפסיכומטרי הממוצע (ציר ה-</w:t>
      </w:r>
      <w:r>
        <w:rPr>
          <w:rFonts w:ascii="David" w:hAnsi="David" w:hint="cs"/>
        </w:rPr>
        <w:t>X</w:t>
      </w:r>
      <w:r>
        <w:rPr>
          <w:rFonts w:ascii="David" w:hAnsi="David" w:hint="cs"/>
          <w:rtl/>
        </w:rPr>
        <w:t xml:space="preserve">) כאשר כל נקודה בתרשים מייצגת </w:t>
      </w:r>
      <w:r w:rsidRPr="00CA3578">
        <w:rPr>
          <w:rFonts w:ascii="David" w:hAnsi="David"/>
          <w:rtl/>
        </w:rPr>
        <w:t>תחום לימוד במוסד מסוים (לדוגמה, מדעי החברה באוניברסיטה העברית).</w:t>
      </w:r>
      <w:r>
        <w:rPr>
          <w:rFonts w:ascii="David" w:hAnsi="David" w:hint="cs"/>
          <w:rtl/>
        </w:rPr>
        <w:t xml:space="preserve"> בתרשים זה מופרדות התצפיות לפי סוג המוסד כאשר הנקודות הכחולות מייצגות את האוניברסיטאות והריבועים הכתומים מייצגים את המכללות האקדמיות. מהתרשים עולה כי לאוניברסיטאות יתרון משמעותי במשיכת המועמדים בעלי ציון פסיכומטרי גבוה; 66% מהתצפיות באוניברסיטאות הן עם ציון ממוצע הגבוה מ-600 בציון הפסיכומטרי בהשוואה ל-5% בלבד מהתצפיות בקרב המכללות האקדמיות. בהתאם, גם שכר הבוגרים הינו גבוה יותר בקרב בוגרי האוניברסיטאות. עם זאת, הפערים בין אוניברסיטאות למכללות אקדמיות מבחינת שכר הבוגרים אינם גבוהים באותה מידה כמו הפערים בציון הפסיכומטרי; כך כאשר בוחנים את שיעור התצפיות בהן שכר הבוגרים גבוה מ- 20 אלף ₪ לחודש השיעור באוניברסיטאות ובמכללות האקדמיות דומה: 29% ו-28% בהתאמה (אך אם קובעים סף גבוה יותר להגדרה של שכר גבוה, היתרון של האוניברסיטאות גדל). </w:t>
      </w:r>
    </w:p>
    <w:p w:rsidR="003C3711" w:rsidRPr="00565C14" w:rsidRDefault="003C3711" w:rsidP="003C3711">
      <w:pPr>
        <w:spacing w:before="0" w:after="0" w:line="240" w:lineRule="auto"/>
        <w:jc w:val="center"/>
        <w:rPr>
          <w:rFonts w:ascii="David" w:hAnsi="David"/>
          <w:b/>
          <w:bCs/>
          <w:rtl/>
        </w:rPr>
      </w:pPr>
      <w:r>
        <w:rPr>
          <w:rFonts w:ascii="David" w:hAnsi="David" w:hint="cs"/>
          <w:b/>
          <w:bCs/>
          <w:rtl/>
        </w:rPr>
        <w:t>תרשים ש1: ציון בבחינה הפסיכומטרית והשכר, חלוקה לפי סוג מוסד</w:t>
      </w:r>
    </w:p>
    <w:p w:rsidR="003C3711" w:rsidRDefault="003C3711" w:rsidP="003C3711">
      <w:pPr>
        <w:spacing w:before="0" w:after="0" w:line="240" w:lineRule="auto"/>
        <w:jc w:val="center"/>
        <w:rPr>
          <w:rFonts w:ascii="David" w:hAnsi="David"/>
          <w:rtl/>
        </w:rPr>
      </w:pPr>
      <w:r>
        <w:rPr>
          <w:rFonts w:ascii="David" w:hAnsi="David"/>
          <w:noProof/>
        </w:rPr>
        <w:lastRenderedPageBreak/>
        <w:drawing>
          <wp:inline distT="0" distB="0" distL="0" distR="0" wp14:anchorId="56A084A4">
            <wp:extent cx="5681980" cy="3651885"/>
            <wp:effectExtent l="0" t="0" r="0" b="5715"/>
            <wp:docPr id="34" name="תמונה 34" descr="תרשים ש1: ציון בבחינה הפסיכומטרית והשכר, חלוקה לפי סוג מוס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1980" cy="3651885"/>
                    </a:xfrm>
                    <a:prstGeom prst="rect">
                      <a:avLst/>
                    </a:prstGeom>
                    <a:noFill/>
                  </pic:spPr>
                </pic:pic>
              </a:graphicData>
            </a:graphic>
          </wp:inline>
        </w:drawing>
      </w:r>
    </w:p>
    <w:p w:rsidR="003C3711" w:rsidRDefault="003C3711" w:rsidP="003C3711">
      <w:pPr>
        <w:spacing w:before="0" w:after="0" w:line="240" w:lineRule="auto"/>
        <w:rPr>
          <w:rFonts w:ascii="David" w:hAnsi="David"/>
          <w:sz w:val="20"/>
          <w:szCs w:val="20"/>
          <w:rtl/>
        </w:rPr>
      </w:pPr>
      <w:r>
        <w:rPr>
          <w:rFonts w:ascii="David" w:hAnsi="David" w:hint="cs"/>
          <w:sz w:val="20"/>
          <w:szCs w:val="20"/>
          <w:rtl/>
        </w:rPr>
        <w:t>מקור: הלשכה המרכזית לסטטיסטיקה, עיבודי אגף הכלכלן הראשי. כל נקודה בתרשים מייצגת תחום לימוד במוסד מסוים (לדוגמה, מדעי החברה באוניברסיטה העברית). נתוני השכר הם חודשיים ומתייחסים לשכר ברוטו בשנת 2017 עבור בוגרי שנת 2010. נתוני הבחינה הפסיכומטרית מבוססים על נתוני סטודנטים חדשים בשנת 2018-9.</w:t>
      </w:r>
    </w:p>
    <w:p w:rsidR="003C3711" w:rsidRDefault="003C3711" w:rsidP="003C3711">
      <w:pPr>
        <w:spacing w:before="0" w:after="0" w:line="240" w:lineRule="auto"/>
        <w:rPr>
          <w:rFonts w:ascii="David" w:hAnsi="David"/>
          <w:sz w:val="20"/>
          <w:szCs w:val="20"/>
          <w:rtl/>
        </w:rPr>
      </w:pPr>
    </w:p>
    <w:p w:rsidR="003C3711" w:rsidRDefault="003C3711" w:rsidP="003C3711">
      <w:pPr>
        <w:rPr>
          <w:rFonts w:ascii="David" w:hAnsi="David"/>
          <w:rtl/>
        </w:rPr>
      </w:pPr>
      <w:r>
        <w:rPr>
          <w:rFonts w:ascii="David" w:hAnsi="David" w:hint="cs"/>
          <w:rtl/>
        </w:rPr>
        <w:t>תרשים ש2 בנוי בצורה דומה לתרשים ש1 אך בתרשים זה מופרדות המחלקות האקדמיות לצורות וצבעים שונים לפי תחום הלימוד, ללא הבחנה בין סוג המוסד. בעוד שבאופן כללי נראה כי קיים קשר חיובי בין הציון הפסיכומטרי</w:t>
      </w:r>
      <w:r>
        <w:rPr>
          <w:rStyle w:val="af0"/>
          <w:rFonts w:ascii="David" w:hAnsi="David"/>
          <w:rtl/>
        </w:rPr>
        <w:footnoteReference w:id="3"/>
      </w:r>
      <w:r>
        <w:rPr>
          <w:rFonts w:ascii="David" w:hAnsi="David" w:hint="cs"/>
          <w:rtl/>
        </w:rPr>
        <w:t xml:space="preserve"> ושכר הבוגרים, התמקדות בתחומי לימוד ספציפיים מעלה כי עוצמת הקשר משתנה בין תחומי הלימוד. כך, בעוד שבתחומי ההנדסה והמשפטים מתקיים קשר חיובי חזק יחסית בין הציון הפסיכומטרי לשכר, לא מתקיים קשר חיובי בתחום מדעי הרוח, האומנות והשפות. יודגש כי ישנן תועלות אחרות שאינן קשורות לשכר הנובעות מתחומי לימוד אלה ואחרים אך נייר זה אינו עוסק בתועלות אלו. עוד עולה מהתרשים כי קיימת היררכיית שכר בין תחומי הלימוד השונים ושבחירת תחום הלימוד מקושרת במידה רבה לשכר הבוגרים גם בהינתן כישורי פתיחה מסוימים (בהנחה שהציון הפסיכומטרי משקף זאת). ממצא ראשוני זה מתוקף בעבודתם של קריל ואחרים (2019).</w:t>
      </w:r>
    </w:p>
    <w:p w:rsidR="003C3711" w:rsidRPr="003C3711" w:rsidRDefault="003C3711" w:rsidP="003C3711">
      <w:pPr>
        <w:spacing w:before="0" w:after="0" w:line="240" w:lineRule="auto"/>
        <w:jc w:val="center"/>
        <w:rPr>
          <w:rFonts w:ascii="David" w:hAnsi="David"/>
          <w:b/>
          <w:bCs/>
          <w:sz w:val="22"/>
          <w:szCs w:val="22"/>
          <w:rtl/>
        </w:rPr>
      </w:pPr>
      <w:r w:rsidRPr="003C3711">
        <w:rPr>
          <w:rFonts w:ascii="David" w:hAnsi="David" w:hint="cs"/>
          <w:b/>
          <w:bCs/>
          <w:sz w:val="22"/>
          <w:szCs w:val="22"/>
          <w:rtl/>
        </w:rPr>
        <w:t>תרשים ש2: ציון בבחינה הפסיכומטרית והשכר, חלוקה לפי מחלקות אקדמיות</w:t>
      </w:r>
    </w:p>
    <w:p w:rsidR="003C3711" w:rsidRDefault="003C3711" w:rsidP="003C3711">
      <w:pPr>
        <w:spacing w:before="0" w:after="0" w:line="240" w:lineRule="auto"/>
        <w:jc w:val="center"/>
        <w:rPr>
          <w:rFonts w:ascii="David" w:hAnsi="David"/>
          <w:rtl/>
        </w:rPr>
      </w:pPr>
      <w:r>
        <w:rPr>
          <w:rFonts w:ascii="David" w:hAnsi="David"/>
          <w:noProof/>
        </w:rPr>
        <w:lastRenderedPageBreak/>
        <w:drawing>
          <wp:inline distT="0" distB="0" distL="0" distR="0" wp14:anchorId="337A1708">
            <wp:extent cx="5553710" cy="3206750"/>
            <wp:effectExtent l="0" t="0" r="8890" b="0"/>
            <wp:docPr id="35" name="תמונה 35" descr="תרשים ש2: ציון בבחינה הפסיכומטרית והשכר, חלוקה לפי מחלקות אקדמי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710" cy="3206750"/>
                    </a:xfrm>
                    <a:prstGeom prst="rect">
                      <a:avLst/>
                    </a:prstGeom>
                    <a:noFill/>
                  </pic:spPr>
                </pic:pic>
              </a:graphicData>
            </a:graphic>
          </wp:inline>
        </w:drawing>
      </w:r>
    </w:p>
    <w:p w:rsidR="003C3711" w:rsidRDefault="003C3711" w:rsidP="003C3711">
      <w:pPr>
        <w:spacing w:before="0" w:after="0" w:line="240" w:lineRule="auto"/>
        <w:rPr>
          <w:rFonts w:ascii="David" w:hAnsi="David"/>
          <w:sz w:val="20"/>
          <w:szCs w:val="20"/>
          <w:rtl/>
        </w:rPr>
      </w:pPr>
      <w:r>
        <w:rPr>
          <w:rFonts w:ascii="David" w:hAnsi="David" w:hint="cs"/>
          <w:sz w:val="20"/>
          <w:szCs w:val="20"/>
          <w:rtl/>
        </w:rPr>
        <w:t>מקור: הלשכה המרכזית לסטטיסטיקה, עיבודי אגף הכלכלן הראשי. כל נקודה בתרשים מייצגת תחום לימוד במוסד מסוים (לדוגמה, מדעי החברה באוניברסיטה העברית). נתוני השכר הם חודשיים ומתייחסים לשכר ברוטו בשנת 2017 עבור בוגרי שנת 2010. נתוני הבחינה הפסיכומטרית מבוססים על נתוני סטודנטים חדשים בשנת 2018-9.</w:t>
      </w:r>
    </w:p>
    <w:p w:rsidR="003C3711" w:rsidRDefault="003C3711" w:rsidP="003C3711">
      <w:pPr>
        <w:spacing w:line="240" w:lineRule="auto"/>
        <w:rPr>
          <w:rFonts w:ascii="David" w:hAnsi="David"/>
          <w:sz w:val="20"/>
          <w:szCs w:val="20"/>
          <w:rtl/>
        </w:rPr>
      </w:pPr>
    </w:p>
    <w:p w:rsidR="003C3711" w:rsidRPr="004A0C3F" w:rsidRDefault="003C3711" w:rsidP="003C3711">
      <w:pPr>
        <w:rPr>
          <w:rFonts w:ascii="David" w:hAnsi="David"/>
        </w:rPr>
      </w:pPr>
      <w:r>
        <w:rPr>
          <w:rFonts w:ascii="David" w:hAnsi="David" w:hint="cs"/>
          <w:rtl/>
        </w:rPr>
        <w:t>תרשים ש3 מציג את שכר הבוגרים הממוצע תוך חלוקה לסוג מוסד. יש לציין כי תמהיל מקצועות הלימוד שונה בין אוניברסיטאות למכללות אקדמאיות באופן שעשוי להסביר חלק מהפערים המוצגים בין סוגי המוסדות בשכר הממוצע. בדומה למסקנה שעלתה מתרשים ש2 גם בתרשים זה מסתמנת היררכיית שכר ברורה כאשר בוגרי מקצועות הרפואה והמקצועות הריאליים מרוויחים בממוצע את השכר הגבוה ביותר בסיום לימודיהם. עוד עולה כי שכר בוגרי האוניברסיטאות גבוה יותר בממוצע ברוב התחומים, אף כי לא ניתן לקבוע באופן חד משמעי על בסיס נתונים אלה אם פערים אלה נובעים מהבדלים בהוראה, מהבדלים בתנאי הפתיחה של הסטודנטים, או מגורמים אחרים. עם זאת, אחדות ואחרים (2018) מצאו כי הפרמיה ללימודים אוניברסיטאיי</w:t>
      </w:r>
      <w:r>
        <w:rPr>
          <w:rFonts w:ascii="David" w:hAnsi="David" w:hint="eastAsia"/>
          <w:rtl/>
        </w:rPr>
        <w:t>ם</w:t>
      </w:r>
      <w:r>
        <w:rPr>
          <w:rFonts w:ascii="David" w:hAnsi="David" w:hint="cs"/>
          <w:rtl/>
        </w:rPr>
        <w:t xml:space="preserve"> גבוהה מהפרמיה ללימודים במכללה אקדמית לאחר שליטה במגוון משתני בקרה.</w:t>
      </w:r>
    </w:p>
    <w:p w:rsidR="003C3711" w:rsidRDefault="003C3711" w:rsidP="003C3711">
      <w:pPr>
        <w:bidi w:val="0"/>
        <w:rPr>
          <w:rFonts w:ascii="David" w:hAnsi="David"/>
          <w:b/>
          <w:bCs/>
        </w:rPr>
      </w:pPr>
      <w:r>
        <w:rPr>
          <w:rFonts w:ascii="David" w:hAnsi="David"/>
          <w:b/>
          <w:bCs/>
          <w:rtl/>
        </w:rPr>
        <w:br w:type="page"/>
      </w:r>
    </w:p>
    <w:p w:rsidR="003C3711" w:rsidRPr="003C3711" w:rsidRDefault="003C3711" w:rsidP="003C3711">
      <w:pPr>
        <w:jc w:val="center"/>
        <w:rPr>
          <w:rFonts w:ascii="David" w:hAnsi="David"/>
          <w:b/>
          <w:bCs/>
          <w:sz w:val="22"/>
          <w:szCs w:val="22"/>
          <w:rtl/>
        </w:rPr>
      </w:pPr>
      <w:r w:rsidRPr="003C3711">
        <w:rPr>
          <w:rFonts w:ascii="David" w:hAnsi="David" w:hint="cs"/>
          <w:b/>
          <w:bCs/>
          <w:sz w:val="22"/>
          <w:szCs w:val="22"/>
          <w:rtl/>
        </w:rPr>
        <w:lastRenderedPageBreak/>
        <w:t>תרשים ש3: שכר בוגרים לפי תחום לימוד וסוג מוסד</w:t>
      </w:r>
    </w:p>
    <w:p w:rsidR="003C3711" w:rsidRDefault="003C3711" w:rsidP="003C3711">
      <w:pPr>
        <w:jc w:val="center"/>
        <w:rPr>
          <w:rFonts w:ascii="David" w:hAnsi="David"/>
          <w:b/>
          <w:bCs/>
          <w:rtl/>
        </w:rPr>
      </w:pPr>
      <w:r>
        <w:rPr>
          <w:rFonts w:ascii="David" w:hAnsi="David"/>
          <w:b/>
          <w:bCs/>
          <w:noProof/>
        </w:rPr>
        <w:drawing>
          <wp:inline distT="0" distB="0" distL="0" distR="0" wp14:anchorId="3E1B7BB4">
            <wp:extent cx="4834255" cy="2926080"/>
            <wp:effectExtent l="0" t="0" r="4445" b="7620"/>
            <wp:docPr id="36" name="תמונה 36" descr="תרשים ש3: שכר בוגרים לפי תחום לימוד וסוג מוס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4255" cy="2926080"/>
                    </a:xfrm>
                    <a:prstGeom prst="rect">
                      <a:avLst/>
                    </a:prstGeom>
                    <a:noFill/>
                  </pic:spPr>
                </pic:pic>
              </a:graphicData>
            </a:graphic>
          </wp:inline>
        </w:drawing>
      </w:r>
    </w:p>
    <w:p w:rsidR="003C3711" w:rsidRDefault="003C3711" w:rsidP="003C3711">
      <w:pPr>
        <w:rPr>
          <w:rFonts w:ascii="David" w:hAnsi="David"/>
          <w:sz w:val="20"/>
          <w:szCs w:val="20"/>
        </w:rPr>
      </w:pPr>
      <w:r>
        <w:rPr>
          <w:rFonts w:ascii="David" w:hAnsi="David" w:hint="cs"/>
          <w:sz w:val="20"/>
          <w:szCs w:val="20"/>
          <w:rtl/>
        </w:rPr>
        <w:t>מקור: הלשכה המרכזית לסטטיסטיקה, עיבודי אגף הכלכלן הראשי. נתוני השכר הם חודשיים ומתייחסים לשכר ברוטו בשנת 2017 עבור בוגרי שנת 2010.</w:t>
      </w:r>
    </w:p>
    <w:p w:rsidR="003C3711" w:rsidRDefault="003C3711" w:rsidP="003C3711">
      <w:pPr>
        <w:jc w:val="center"/>
        <w:rPr>
          <w:rFonts w:ascii="David" w:hAnsi="David"/>
          <w:b/>
          <w:bCs/>
          <w:rtl/>
        </w:rPr>
      </w:pPr>
    </w:p>
    <w:p w:rsidR="003C3711" w:rsidRPr="004A0C3F" w:rsidRDefault="003C3711" w:rsidP="003C3711">
      <w:pPr>
        <w:rPr>
          <w:rFonts w:ascii="David" w:hAnsi="David"/>
        </w:rPr>
      </w:pPr>
      <w:r w:rsidRPr="004A0C3F">
        <w:rPr>
          <w:rFonts w:ascii="David" w:hAnsi="David" w:hint="cs"/>
          <w:rtl/>
        </w:rPr>
        <w:t xml:space="preserve">תרשים </w:t>
      </w:r>
      <w:r>
        <w:rPr>
          <w:rFonts w:ascii="David" w:hAnsi="David" w:hint="cs"/>
          <w:rtl/>
        </w:rPr>
        <w:t>ש4 מציג את שכר הבוגרים הממוצע לפי תחום לימוד תוך חלוקה מגדרית. מהתרשים עולה כי מדרג השכר עבור נשים וגברים כמעט זהה, וכי בוגרות המקצועות הריאליים מדורגות גבוה במדרג השכר הנשי. ממצא זה מעניין לאור מיעוט הנשים בלימודים ריאליים</w:t>
      </w:r>
      <w:r>
        <w:rPr>
          <w:rStyle w:val="af0"/>
          <w:rFonts w:ascii="David" w:hAnsi="David"/>
          <w:rtl/>
        </w:rPr>
        <w:footnoteReference w:id="4"/>
      </w:r>
      <w:r>
        <w:rPr>
          <w:rFonts w:ascii="David" w:hAnsi="David" w:hint="cs"/>
          <w:rtl/>
        </w:rPr>
        <w:t>. ניתן גם לזהות כי קיימים פערי שכר מגדריים ניכרים בכל תחומי הלימוד, כאשר רק בקרב בוגרי תחום הרפואה נרשמים פערי שכר מגדריים קטנים יחסית. בהקשר זה חשוב לציין כי מרבית פערי השכר נובעים מהבדלים בין נשים לגברים מבחינת היקף ההעסקה</w:t>
      </w:r>
      <w:r>
        <w:rPr>
          <w:rStyle w:val="af0"/>
          <w:rFonts w:ascii="David" w:hAnsi="David"/>
          <w:rtl/>
        </w:rPr>
        <w:footnoteReference w:id="5"/>
      </w:r>
      <w:r>
        <w:rPr>
          <w:rFonts w:ascii="David" w:hAnsi="David" w:hint="cs"/>
          <w:rtl/>
        </w:rPr>
        <w:t xml:space="preserve">. </w:t>
      </w:r>
    </w:p>
    <w:p w:rsidR="003C3711" w:rsidRDefault="003C3711" w:rsidP="003C3711">
      <w:pPr>
        <w:bidi w:val="0"/>
        <w:rPr>
          <w:rFonts w:ascii="David" w:hAnsi="David"/>
          <w:b/>
          <w:bCs/>
        </w:rPr>
      </w:pPr>
      <w:r>
        <w:rPr>
          <w:rFonts w:ascii="David" w:hAnsi="David"/>
          <w:b/>
          <w:bCs/>
          <w:rtl/>
        </w:rPr>
        <w:br w:type="page"/>
      </w:r>
    </w:p>
    <w:p w:rsidR="003C3711" w:rsidRPr="00FF64B7" w:rsidRDefault="00FF64B7" w:rsidP="003C3711">
      <w:pPr>
        <w:jc w:val="center"/>
        <w:rPr>
          <w:rFonts w:ascii="David" w:hAnsi="David"/>
          <w:b/>
          <w:bCs/>
          <w:sz w:val="22"/>
          <w:szCs w:val="22"/>
          <w:rtl/>
        </w:rPr>
      </w:pPr>
      <w:r w:rsidRPr="00FF64B7">
        <w:rPr>
          <w:rFonts w:ascii="David" w:hAnsi="David" w:hint="cs"/>
          <w:b/>
          <w:bCs/>
          <w:sz w:val="22"/>
          <w:szCs w:val="22"/>
          <w:rtl/>
        </w:rPr>
        <w:lastRenderedPageBreak/>
        <w:t xml:space="preserve">תרשים ש4: </w:t>
      </w:r>
      <w:r w:rsidR="003C3711" w:rsidRPr="00FF64B7">
        <w:rPr>
          <w:rFonts w:ascii="David" w:hAnsi="David"/>
          <w:b/>
          <w:bCs/>
          <w:sz w:val="22"/>
          <w:szCs w:val="22"/>
          <w:rtl/>
        </w:rPr>
        <w:t>שכר</w:t>
      </w:r>
      <w:r w:rsidR="003C3711" w:rsidRPr="00FF64B7">
        <w:rPr>
          <w:rFonts w:ascii="David" w:hAnsi="David" w:hint="cs"/>
          <w:b/>
          <w:bCs/>
          <w:sz w:val="22"/>
          <w:szCs w:val="22"/>
          <w:rtl/>
        </w:rPr>
        <w:t xml:space="preserve"> בוגרים</w:t>
      </w:r>
      <w:r w:rsidR="003C3711" w:rsidRPr="00FF64B7">
        <w:rPr>
          <w:rFonts w:ascii="David" w:hAnsi="David"/>
          <w:b/>
          <w:bCs/>
          <w:sz w:val="22"/>
          <w:szCs w:val="22"/>
          <w:rtl/>
        </w:rPr>
        <w:t xml:space="preserve"> לפי תחום לימוד</w:t>
      </w:r>
      <w:r w:rsidR="003C3711" w:rsidRPr="00FF64B7">
        <w:rPr>
          <w:rFonts w:ascii="David" w:hAnsi="David" w:hint="cs"/>
          <w:b/>
          <w:bCs/>
          <w:sz w:val="22"/>
          <w:szCs w:val="22"/>
          <w:rtl/>
        </w:rPr>
        <w:t xml:space="preserve"> ומגדר</w:t>
      </w:r>
      <w:r w:rsidR="003C3711" w:rsidRPr="00FF64B7">
        <w:rPr>
          <w:rFonts w:ascii="David" w:hAnsi="David"/>
          <w:b/>
          <w:bCs/>
          <w:sz w:val="22"/>
          <w:szCs w:val="22"/>
          <w:rtl/>
        </w:rPr>
        <w:t xml:space="preserve"> </w:t>
      </w:r>
    </w:p>
    <w:p w:rsidR="003C3711" w:rsidRDefault="00FF64B7" w:rsidP="003C3711">
      <w:pPr>
        <w:jc w:val="center"/>
        <w:rPr>
          <w:rFonts w:ascii="David" w:hAnsi="David"/>
          <w:rtl/>
        </w:rPr>
      </w:pPr>
      <w:r>
        <w:rPr>
          <w:rFonts w:ascii="David" w:hAnsi="David"/>
          <w:noProof/>
        </w:rPr>
        <w:drawing>
          <wp:inline distT="0" distB="0" distL="0" distR="0" wp14:anchorId="7BF54FDE">
            <wp:extent cx="5273675" cy="3347085"/>
            <wp:effectExtent l="0" t="0" r="3175" b="5715"/>
            <wp:docPr id="39" name="תמונה 39" descr="תרשים ש4: שכר בוגרים לפי תחום לימוד ומגדר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675" cy="3347085"/>
                    </a:xfrm>
                    <a:prstGeom prst="rect">
                      <a:avLst/>
                    </a:prstGeom>
                    <a:noFill/>
                  </pic:spPr>
                </pic:pic>
              </a:graphicData>
            </a:graphic>
          </wp:inline>
        </w:drawing>
      </w:r>
    </w:p>
    <w:p w:rsidR="003C3711" w:rsidRDefault="003C3711" w:rsidP="003C3711">
      <w:pPr>
        <w:rPr>
          <w:rFonts w:ascii="David" w:hAnsi="David"/>
          <w:sz w:val="20"/>
          <w:szCs w:val="20"/>
        </w:rPr>
      </w:pPr>
      <w:r>
        <w:rPr>
          <w:rFonts w:ascii="David" w:hAnsi="David" w:hint="cs"/>
          <w:sz w:val="20"/>
          <w:szCs w:val="20"/>
          <w:rtl/>
        </w:rPr>
        <w:t>מקור: הלשכה המרכזית לסטטיסטיקה, עיבודי אגף הכלכלן הראשי. נתוני השכר הם חודשיים ומתייחסים לשכר ברוטו בשנת 2017 עבור בוגרי שנת 2010.</w:t>
      </w:r>
    </w:p>
    <w:p w:rsidR="003C3711" w:rsidRPr="00BA39CF" w:rsidRDefault="003C3711" w:rsidP="003C3711">
      <w:pPr>
        <w:rPr>
          <w:rFonts w:ascii="David" w:hAnsi="David"/>
          <w:rtl/>
        </w:rPr>
      </w:pPr>
      <w:r>
        <w:rPr>
          <w:rFonts w:ascii="David" w:hAnsi="David" w:hint="cs"/>
          <w:rtl/>
        </w:rPr>
        <w:t>הדיון על שכר הבוגרים שהוצג עד כה רלבנטי עבור מועמדים למערכת ההשכלה הגבוהה רק אם הביקושים בשוק העבודה לבוגרים ממסלולי לימוד ותחומי לימוד יציבים יחסית לאורך זמן. כך למשל, באם שכר הכלכלנים הינו תנודתי במיוחד לאורך זמן, נתוני השכר בשנת 2017 אינם רלבנטיים במיוחד עבור מועמד ללימודי כלכלה שיצטרף לשוק העבודה רק בשנת 2024. כפי שנראה להלן, אין זה המצב, כאשר בטווח הבינוני מדרג שכר הבוגרים של תחומי הלימוד ומסלולי הלימוד נשאר יציב למדי. כך, תרשים ש5 מציג את דירוג השכר עבור בוגרי תחומי הלימוד השונים ב-2006 לעומת 2016 (כאשר דירוג נמוך משמעו שכר גבוה יחסית ולהפך). בשני המקרים מדובר בשכר בוגרים טריים, כאשר השכר ב-2006 מתייחס לבוגרי 2004 והשכר ב-2016 מתייחס לבוגרי 2014. נתוני התרשים מראים כי בעשר השנים שחלפו בין 2006 ל-2016 לא חלו שינויים משמעותיים במדרג המקצועות כאשר תחומי לימוד שדורגו גבוה ב-2006 נותרו בפסגה ותחומי לימוד שדורגו נמוך ב-2006 נשארו בתחתית. בדומה, תרשים ש6, מציג תרשים פיזור בו הנתונים מתייחסים לשכר החודשי בשנת 2017, ציר ה-</w:t>
      </w:r>
      <w:r>
        <w:rPr>
          <w:rFonts w:ascii="David" w:hAnsi="David" w:hint="cs"/>
        </w:rPr>
        <w:t>X</w:t>
      </w:r>
      <w:r>
        <w:rPr>
          <w:rFonts w:ascii="David" w:hAnsi="David" w:hint="cs"/>
          <w:rtl/>
        </w:rPr>
        <w:t xml:space="preserve"> הוא שכר בוגרי 2010 וציר </w:t>
      </w:r>
      <w:r>
        <w:rPr>
          <w:rFonts w:ascii="David" w:hAnsi="David" w:hint="cs"/>
        </w:rPr>
        <w:t>Y</w:t>
      </w:r>
      <w:r>
        <w:rPr>
          <w:rFonts w:ascii="David" w:hAnsi="David" w:hint="cs"/>
          <w:rtl/>
        </w:rPr>
        <w:t xml:space="preserve"> הוא שכר בוגרי 2016. כל נקודה בתרשים מתייחסת למסלול לימוד מסוים (לדוגמה, לימודי כלכלה באוניברסיטת תל אביב). מהתרשים עולה כי קיים קשר חיובי </w:t>
      </w:r>
      <w:r>
        <w:rPr>
          <w:rFonts w:ascii="David" w:hAnsi="David" w:hint="cs"/>
          <w:rtl/>
        </w:rPr>
        <w:lastRenderedPageBreak/>
        <w:t>ברור בין שכר בוגרים טריים לשכר בוגרים ותיקים יותר, המעיד פעם נוספת על יציבות בביקושים על פי מסלול לימוד לאורך זמן.</w:t>
      </w:r>
    </w:p>
    <w:p w:rsidR="003C3711" w:rsidRDefault="003C3711" w:rsidP="003C3711">
      <w:pPr>
        <w:bidi w:val="0"/>
        <w:rPr>
          <w:rFonts w:ascii="David" w:hAnsi="David"/>
          <w:b/>
          <w:bCs/>
          <w:rtl/>
        </w:rPr>
      </w:pPr>
      <w:r>
        <w:rPr>
          <w:rFonts w:ascii="David" w:hAnsi="David"/>
          <w:b/>
          <w:bCs/>
          <w:rtl/>
        </w:rPr>
        <w:br w:type="page"/>
      </w:r>
    </w:p>
    <w:p w:rsidR="003C3711" w:rsidRPr="00FF64B7" w:rsidRDefault="00FF64B7" w:rsidP="00FF64B7">
      <w:pPr>
        <w:spacing w:before="0" w:after="0" w:line="240" w:lineRule="auto"/>
        <w:jc w:val="center"/>
        <w:rPr>
          <w:rFonts w:ascii="David" w:hAnsi="David"/>
          <w:b/>
          <w:bCs/>
          <w:sz w:val="22"/>
          <w:szCs w:val="22"/>
          <w:rtl/>
        </w:rPr>
      </w:pPr>
      <w:r w:rsidRPr="00FF64B7">
        <w:rPr>
          <w:rFonts w:ascii="David" w:hAnsi="David" w:hint="cs"/>
          <w:b/>
          <w:bCs/>
          <w:sz w:val="22"/>
          <w:szCs w:val="22"/>
          <w:rtl/>
        </w:rPr>
        <w:lastRenderedPageBreak/>
        <w:t xml:space="preserve">תרשים ש5: </w:t>
      </w:r>
      <w:r w:rsidR="003C3711" w:rsidRPr="00FF64B7">
        <w:rPr>
          <w:rFonts w:ascii="David" w:hAnsi="David" w:hint="cs"/>
          <w:b/>
          <w:bCs/>
          <w:sz w:val="22"/>
          <w:szCs w:val="22"/>
          <w:rtl/>
        </w:rPr>
        <w:t>מדרג השכר של בוגרים טריים, לפי תחום לימוד</w:t>
      </w:r>
    </w:p>
    <w:p w:rsidR="003C3711" w:rsidRDefault="00FF64B7" w:rsidP="00FF64B7">
      <w:pPr>
        <w:spacing w:before="0" w:after="0" w:line="240" w:lineRule="auto"/>
        <w:rPr>
          <w:rFonts w:ascii="David" w:hAnsi="David"/>
          <w:rtl/>
        </w:rPr>
      </w:pPr>
      <w:r>
        <w:rPr>
          <w:rFonts w:ascii="David" w:hAnsi="David"/>
          <w:noProof/>
        </w:rPr>
        <w:drawing>
          <wp:inline distT="0" distB="0" distL="0" distR="0" wp14:anchorId="1301CEB7">
            <wp:extent cx="5236845" cy="3213100"/>
            <wp:effectExtent l="0" t="0" r="1905" b="6350"/>
            <wp:docPr id="196" name="תמונה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6845" cy="3213100"/>
                    </a:xfrm>
                    <a:prstGeom prst="rect">
                      <a:avLst/>
                    </a:prstGeom>
                    <a:noFill/>
                  </pic:spPr>
                </pic:pic>
              </a:graphicData>
            </a:graphic>
          </wp:inline>
        </w:drawing>
      </w:r>
    </w:p>
    <w:p w:rsidR="003C3711" w:rsidRDefault="003C3711" w:rsidP="00FF64B7">
      <w:pPr>
        <w:spacing w:before="0" w:after="0" w:line="240" w:lineRule="auto"/>
        <w:rPr>
          <w:rFonts w:ascii="David" w:hAnsi="David"/>
          <w:sz w:val="20"/>
          <w:szCs w:val="20"/>
          <w:rtl/>
        </w:rPr>
      </w:pPr>
      <w:r>
        <w:rPr>
          <w:rFonts w:ascii="David" w:hAnsi="David" w:hint="cs"/>
          <w:sz w:val="20"/>
          <w:szCs w:val="20"/>
          <w:rtl/>
        </w:rPr>
        <w:t xml:space="preserve">מקור: הלשכה המרכזית לסטטיסטיקה, עיבודי אגף הכלכלן הראשי. השכר ב-2006 מתייחס לבוגרי 2004 והשכר ב-2016 מתייחס לבוגרי 2014. השכר הוא במונחי ברוטו. </w:t>
      </w:r>
      <w:r w:rsidRPr="009E7F77">
        <w:rPr>
          <w:rFonts w:ascii="David" w:hAnsi="David"/>
          <w:sz w:val="20"/>
          <w:szCs w:val="20"/>
          <w:rtl/>
        </w:rPr>
        <w:t>דירוג נמוך משמעו שכר גבוה יחסית ולהפך</w:t>
      </w:r>
      <w:r>
        <w:rPr>
          <w:rFonts w:ascii="David" w:hAnsi="David" w:hint="cs"/>
          <w:sz w:val="20"/>
          <w:szCs w:val="20"/>
          <w:rtl/>
        </w:rPr>
        <w:t>.</w:t>
      </w:r>
    </w:p>
    <w:p w:rsidR="00FF64B7" w:rsidRDefault="00FF64B7" w:rsidP="00FF64B7">
      <w:pPr>
        <w:spacing w:before="0" w:after="0" w:line="240" w:lineRule="auto"/>
        <w:rPr>
          <w:rFonts w:ascii="David" w:hAnsi="David"/>
          <w:sz w:val="20"/>
          <w:szCs w:val="20"/>
          <w:rtl/>
        </w:rPr>
      </w:pPr>
    </w:p>
    <w:p w:rsidR="00FF64B7" w:rsidRDefault="00FF64B7" w:rsidP="00FF64B7">
      <w:pPr>
        <w:spacing w:before="0" w:after="0" w:line="240" w:lineRule="auto"/>
        <w:rPr>
          <w:rFonts w:ascii="David" w:hAnsi="David"/>
          <w:sz w:val="20"/>
          <w:szCs w:val="20"/>
        </w:rPr>
      </w:pPr>
    </w:p>
    <w:p w:rsidR="003C3711" w:rsidRPr="00FF64B7" w:rsidRDefault="00FF64B7" w:rsidP="00FF64B7">
      <w:pPr>
        <w:spacing w:before="0" w:after="0" w:line="240" w:lineRule="auto"/>
        <w:jc w:val="center"/>
        <w:rPr>
          <w:rFonts w:ascii="David" w:hAnsi="David"/>
          <w:b/>
          <w:bCs/>
          <w:sz w:val="22"/>
          <w:szCs w:val="22"/>
          <w:rtl/>
        </w:rPr>
      </w:pPr>
      <w:r w:rsidRPr="00FF64B7">
        <w:rPr>
          <w:rFonts w:ascii="David" w:hAnsi="David" w:hint="cs"/>
          <w:b/>
          <w:bCs/>
          <w:sz w:val="22"/>
          <w:szCs w:val="22"/>
          <w:rtl/>
        </w:rPr>
        <w:t>תרשים ש6:</w:t>
      </w:r>
      <w:r w:rsidR="003C3711" w:rsidRPr="00FF64B7">
        <w:rPr>
          <w:rFonts w:ascii="David" w:hAnsi="David" w:hint="cs"/>
          <w:b/>
          <w:bCs/>
          <w:sz w:val="22"/>
          <w:szCs w:val="22"/>
          <w:rtl/>
        </w:rPr>
        <w:t xml:space="preserve"> שכר בוגרי 2010 ושכר בוגרי 2016, לפי מסלול לימוד</w:t>
      </w:r>
    </w:p>
    <w:p w:rsidR="003C3711" w:rsidRDefault="00FF64B7" w:rsidP="00FF64B7">
      <w:pPr>
        <w:spacing w:before="0" w:after="0" w:line="240" w:lineRule="auto"/>
        <w:rPr>
          <w:rFonts w:ascii="David" w:hAnsi="David"/>
          <w:rtl/>
        </w:rPr>
      </w:pPr>
      <w:r>
        <w:rPr>
          <w:rFonts w:ascii="David" w:hAnsi="David"/>
          <w:noProof/>
        </w:rPr>
        <w:drawing>
          <wp:inline distT="0" distB="0" distL="0" distR="0" wp14:anchorId="33C683CA">
            <wp:extent cx="5273675" cy="3133725"/>
            <wp:effectExtent l="0" t="0" r="3175" b="9525"/>
            <wp:docPr id="197" name="תמונה 197" descr="תרשים ש6: שכר בוגרי 2010 ושכר בוגרי 2016, לפי מסלול לימו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675" cy="3133725"/>
                    </a:xfrm>
                    <a:prstGeom prst="rect">
                      <a:avLst/>
                    </a:prstGeom>
                    <a:noFill/>
                  </pic:spPr>
                </pic:pic>
              </a:graphicData>
            </a:graphic>
          </wp:inline>
        </w:drawing>
      </w:r>
    </w:p>
    <w:p w:rsidR="003C3711" w:rsidRDefault="003C3711" w:rsidP="00FF64B7">
      <w:pPr>
        <w:spacing w:before="0" w:after="0" w:line="240" w:lineRule="auto"/>
        <w:rPr>
          <w:rFonts w:ascii="David" w:hAnsi="David"/>
          <w:sz w:val="20"/>
          <w:szCs w:val="20"/>
          <w:rtl/>
        </w:rPr>
      </w:pPr>
      <w:r>
        <w:rPr>
          <w:rFonts w:ascii="David" w:hAnsi="David" w:hint="cs"/>
          <w:sz w:val="20"/>
          <w:szCs w:val="20"/>
          <w:rtl/>
        </w:rPr>
        <w:t>מקור: הלשכה המרכזית לסטטיסטיקה, עיבודי אגף הכלכלן הראשי. הנתונים מתייחסים לשכר החודשי הממוצע ברוטו בשנת 2017. כל נקודה בתרשים מייצגת מקצוע לימוד במוסד מסוים (לדוגמה, משפטים באוניברסיטה העברית).</w:t>
      </w:r>
    </w:p>
    <w:p w:rsidR="003C3711" w:rsidRPr="00ED0B45" w:rsidRDefault="003C3711" w:rsidP="003C3711">
      <w:pPr>
        <w:rPr>
          <w:rFonts w:ascii="David" w:hAnsi="David"/>
          <w:rtl/>
        </w:rPr>
      </w:pPr>
    </w:p>
    <w:p w:rsidR="003C3711" w:rsidRDefault="003C3711" w:rsidP="003C3711">
      <w:pPr>
        <w:rPr>
          <w:rFonts w:ascii="David" w:hAnsi="David"/>
          <w:b/>
          <w:bCs/>
          <w:rtl/>
        </w:rPr>
      </w:pPr>
      <w:r w:rsidRPr="00A94E64">
        <w:rPr>
          <w:rFonts w:ascii="David" w:hAnsi="David" w:hint="cs"/>
          <w:b/>
          <w:bCs/>
          <w:rtl/>
        </w:rPr>
        <w:lastRenderedPageBreak/>
        <w:t>שיעור הנשירה וסיום בזמן תקני</w:t>
      </w:r>
    </w:p>
    <w:p w:rsidR="003C3711" w:rsidRDefault="003C3711" w:rsidP="003C3711">
      <w:pPr>
        <w:rPr>
          <w:rFonts w:ascii="David" w:hAnsi="David"/>
          <w:rtl/>
        </w:rPr>
      </w:pPr>
      <w:r>
        <w:rPr>
          <w:rFonts w:ascii="David" w:hAnsi="David" w:hint="cs"/>
          <w:rtl/>
        </w:rPr>
        <w:t xml:space="preserve">עד כה התמקדנו בשכר בוגרי מערכת ההשכלה הגבוהה. בחלק זה נבחן גורמים רלבנטיים נוספים למערכת השיקולים של סטודנטים פוטנציאליים </w:t>
      </w:r>
      <w:r>
        <w:rPr>
          <w:rFonts w:ascii="David" w:hAnsi="David"/>
          <w:rtl/>
        </w:rPr>
        <w:t>–</w:t>
      </w:r>
      <w:r>
        <w:rPr>
          <w:rFonts w:ascii="David" w:hAnsi="David" w:hint="cs"/>
          <w:rtl/>
        </w:rPr>
        <w:t xml:space="preserve"> סיכויי הנשירה מהלימודים</w:t>
      </w:r>
      <w:r>
        <w:rPr>
          <w:rStyle w:val="af0"/>
          <w:rFonts w:ascii="David" w:hAnsi="David"/>
          <w:rtl/>
        </w:rPr>
        <w:footnoteReference w:id="6"/>
      </w:r>
      <w:r>
        <w:rPr>
          <w:rFonts w:ascii="David" w:hAnsi="David" w:hint="cs"/>
          <w:rtl/>
        </w:rPr>
        <w:t xml:space="preserve"> והסיכוי לסיים את התואר במועד תקני. כך, גם אם בוגרי מסלול לימוד מסוים נהנים משכר גבוה בתום לימודיהם, יתכן כי שיעור גבוה מהתלמידים אינם מצליחים לסיים את התואר, דבר ההופך את המסלול לפחות מושך מבחינה כלכלית עבור מועמדים פוטנציאליים. בדומה, באם שיעור גבוה של סטודנטים אינו מצליח לסיים מסלול לימודים מסוים בזמן תקני הדבר מוביל לגידול בעלויות לתלמידים, הן באופן ישיר דרך שכר לימוד והן באופן עקיף באם דחיית סיום התואר מובילה לירידה ביכולת ההשתכרות בטווח הקצר. לצורך זה נשירה מוגדרת כ</w:t>
      </w:r>
      <w:r w:rsidRPr="00E7622B">
        <w:rPr>
          <w:rFonts w:ascii="David" w:hAnsi="David"/>
          <w:rtl/>
        </w:rPr>
        <w:t>סטודנטים שהחלו ללמוד בשנת תשע"ו 2015/16 והפסיקו ללמוד בשנת תשע"ז 2016/17</w:t>
      </w:r>
      <w:r>
        <w:rPr>
          <w:rFonts w:ascii="David" w:hAnsi="David" w:hint="cs"/>
          <w:rtl/>
        </w:rPr>
        <w:t xml:space="preserve"> וסיום בזמן תקני מוגדר לפי הזמן הנקבע על פי המוסד עבור כל תואר, ביחס לסטודנטים שהחלו ללמוד בשנת תשע"א (2010/11). נציין כי עקב התפשטות נגיף הקורונה, סביר כי בשנת הלימודים הקרובה לפחות יונהגו לימודים מרחוק בהיקפים גובים בהרבה מבשיגרה. התפתחות זו עשויה להשפיע על שיעורי הנשירה והסיום בזמן תקני.</w:t>
      </w:r>
    </w:p>
    <w:p w:rsidR="003C3711" w:rsidRPr="001E60A9" w:rsidRDefault="003C3711" w:rsidP="003C3711">
      <w:pPr>
        <w:rPr>
          <w:rFonts w:ascii="David" w:hAnsi="David"/>
          <w:rtl/>
        </w:rPr>
      </w:pPr>
      <w:r>
        <w:rPr>
          <w:rFonts w:ascii="David" w:hAnsi="David" w:hint="cs"/>
          <w:rtl/>
        </w:rPr>
        <w:t xml:space="preserve">תרשים ש7 מציג את שיעור הנשירה לפי סוג מוסד ומגדר. מהשוואה זו עולה כי באופן כללי שיעור הנשירה נמוך יותר באוניברסיטאות, וגבוה יחסית במכללות אקדמאיות לחינוך. עיקר שונות זו נובעת מאוכלוסיות הגברים כאשר שיעורי הנשירה של גברים ממכללות אקדמאיות, בעיקר לחינוך, גבוהים במיוחד. בקרב נשים הן שיעורי הנשירה הכלליים והן השונות בין סוגי המוסדות נמוכים יחסית. </w:t>
      </w:r>
    </w:p>
    <w:p w:rsidR="003C3711" w:rsidRPr="00ED0B45" w:rsidRDefault="00FF64B7" w:rsidP="00FF64B7">
      <w:pPr>
        <w:spacing w:before="0" w:after="0" w:line="240" w:lineRule="auto"/>
        <w:jc w:val="center"/>
        <w:rPr>
          <w:rFonts w:ascii="David" w:hAnsi="David"/>
          <w:b/>
          <w:bCs/>
          <w:rtl/>
        </w:rPr>
      </w:pPr>
      <w:r>
        <w:rPr>
          <w:rFonts w:ascii="David" w:hAnsi="David" w:hint="cs"/>
          <w:b/>
          <w:bCs/>
          <w:sz w:val="22"/>
          <w:szCs w:val="22"/>
          <w:rtl/>
        </w:rPr>
        <w:t>תרשים ש7:</w:t>
      </w:r>
      <w:r w:rsidR="003C3711" w:rsidRPr="00FF64B7">
        <w:rPr>
          <w:rFonts w:ascii="David" w:hAnsi="David" w:hint="cs"/>
          <w:b/>
          <w:bCs/>
          <w:sz w:val="22"/>
          <w:szCs w:val="22"/>
          <w:rtl/>
        </w:rPr>
        <w:t xml:space="preserve"> </w:t>
      </w:r>
      <w:r w:rsidR="003C3711" w:rsidRPr="00FF64B7">
        <w:rPr>
          <w:rFonts w:ascii="David" w:hAnsi="David"/>
          <w:b/>
          <w:bCs/>
          <w:sz w:val="22"/>
          <w:szCs w:val="22"/>
          <w:rtl/>
        </w:rPr>
        <w:t>שיעור נשירה לפי מגדר וסוג מוסד לימוד</w:t>
      </w:r>
    </w:p>
    <w:p w:rsidR="003C3711" w:rsidRDefault="00FF64B7" w:rsidP="00FF64B7">
      <w:pPr>
        <w:spacing w:before="0" w:after="0" w:line="240" w:lineRule="auto"/>
        <w:jc w:val="center"/>
        <w:rPr>
          <w:rFonts w:ascii="David" w:hAnsi="David"/>
          <w:rtl/>
        </w:rPr>
      </w:pPr>
      <w:r>
        <w:rPr>
          <w:rFonts w:ascii="David" w:hAnsi="David"/>
          <w:noProof/>
        </w:rPr>
        <w:lastRenderedPageBreak/>
        <w:drawing>
          <wp:inline distT="0" distB="0" distL="0" distR="0" wp14:anchorId="098FAB2E">
            <wp:extent cx="5040000" cy="2376000"/>
            <wp:effectExtent l="0" t="0" r="8255" b="5715"/>
            <wp:docPr id="198" name="תמונה 198" descr="תרשים ש7: שיעור נשירה לפי מגדר וסוג מוסד לימוד"/>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0000" cy="2376000"/>
                    </a:xfrm>
                    <a:prstGeom prst="rect">
                      <a:avLst/>
                    </a:prstGeom>
                    <a:noFill/>
                  </pic:spPr>
                </pic:pic>
              </a:graphicData>
            </a:graphic>
          </wp:inline>
        </w:drawing>
      </w:r>
    </w:p>
    <w:p w:rsidR="003C3711" w:rsidRDefault="003C3711" w:rsidP="00FF64B7">
      <w:pPr>
        <w:spacing w:before="0" w:after="0" w:line="240" w:lineRule="auto"/>
        <w:rPr>
          <w:rFonts w:ascii="David" w:hAnsi="David"/>
          <w:sz w:val="20"/>
          <w:szCs w:val="20"/>
          <w:rtl/>
        </w:rPr>
      </w:pPr>
      <w:r>
        <w:rPr>
          <w:rFonts w:ascii="David" w:hAnsi="David" w:hint="cs"/>
          <w:sz w:val="20"/>
          <w:szCs w:val="20"/>
          <w:rtl/>
        </w:rPr>
        <w:t>מקור: הלשכה המרכזית לסטטיסטיקה, עיבודי אגף הכלכלן הראשי. שיעור הנשירה מתייחס ל</w:t>
      </w:r>
      <w:r>
        <w:rPr>
          <w:rFonts w:ascii="David" w:hAnsi="David"/>
          <w:sz w:val="20"/>
          <w:szCs w:val="20"/>
          <w:rtl/>
        </w:rPr>
        <w:t>סטודנטים שהחלו ללמוד בשנ</w:t>
      </w:r>
      <w:r>
        <w:rPr>
          <w:rFonts w:ascii="David" w:hAnsi="David" w:hint="cs"/>
          <w:sz w:val="20"/>
          <w:szCs w:val="20"/>
          <w:rtl/>
        </w:rPr>
        <w:t>ה האקדמית</w:t>
      </w:r>
      <w:r w:rsidRPr="00D63C61">
        <w:rPr>
          <w:rFonts w:ascii="David" w:hAnsi="David"/>
          <w:sz w:val="20"/>
          <w:szCs w:val="20"/>
          <w:rtl/>
        </w:rPr>
        <w:t xml:space="preserve"> </w:t>
      </w:r>
      <w:r>
        <w:rPr>
          <w:rFonts w:ascii="David" w:hAnsi="David"/>
          <w:sz w:val="20"/>
          <w:szCs w:val="20"/>
          <w:rtl/>
        </w:rPr>
        <w:t>2015/16 והפסיקו ללמוד בשנ</w:t>
      </w:r>
      <w:r>
        <w:rPr>
          <w:rFonts w:ascii="David" w:hAnsi="David" w:hint="cs"/>
          <w:sz w:val="20"/>
          <w:szCs w:val="20"/>
          <w:rtl/>
        </w:rPr>
        <w:t>ה האקדמית</w:t>
      </w:r>
      <w:r w:rsidRPr="00D63C61">
        <w:rPr>
          <w:rFonts w:ascii="David" w:hAnsi="David"/>
          <w:sz w:val="20"/>
          <w:szCs w:val="20"/>
          <w:rtl/>
        </w:rPr>
        <w:t xml:space="preserve"> 2016/17</w:t>
      </w:r>
      <w:r>
        <w:rPr>
          <w:rFonts w:ascii="David" w:hAnsi="David" w:hint="cs"/>
          <w:sz w:val="20"/>
          <w:szCs w:val="20"/>
          <w:rtl/>
        </w:rPr>
        <w:t>. נתוני הנשירה אינם כוללים מעבר לחוג אחר באותו מוסד.</w:t>
      </w:r>
    </w:p>
    <w:p w:rsidR="003C3711" w:rsidRDefault="003C3711" w:rsidP="003C3711">
      <w:pPr>
        <w:rPr>
          <w:rFonts w:ascii="David" w:hAnsi="David"/>
          <w:rtl/>
        </w:rPr>
      </w:pPr>
      <w:r>
        <w:rPr>
          <w:rFonts w:ascii="David" w:hAnsi="David" w:hint="cs"/>
          <w:rtl/>
        </w:rPr>
        <w:t>תרשים ש8 מציג את שיעורי הנשירה לפי תחום לימוד וסוג מוסד. מהשוואה זו עולה כי למרות שאין הבדל ניכר בשיעור הנשירה הכללי בין אוניברסיטאות ומכללות, בתוך תחומי לימוד קיימת שונות רבה מבחינה זו כאשר בתחומי הלימוד המתאפיינים בשכר בוגרים גבוה נרשמים גם שיעורי נשירה גבוהים ולהפך בתחומים המתאפיינים בשכר בוגרים נמוך יחסית. ממצא זה רלבנטי במיוחד עבור מועמדים פוטנציאליים כיוון שיש לזכור ששכר הבוגרים שתואר בחלק הקודם של המיקוד מתייחס לבוגרים בלבד ולא כל הסטודנטים מצליחים לסיים את לימודיהם האקדמאיים בהצלחה.</w:t>
      </w:r>
    </w:p>
    <w:p w:rsidR="003C3711" w:rsidRPr="00FF64B7" w:rsidRDefault="00FF64B7" w:rsidP="003C3711">
      <w:pPr>
        <w:jc w:val="center"/>
        <w:rPr>
          <w:rFonts w:ascii="David" w:hAnsi="David"/>
          <w:b/>
          <w:bCs/>
          <w:sz w:val="22"/>
          <w:szCs w:val="22"/>
          <w:rtl/>
        </w:rPr>
      </w:pPr>
      <w:r w:rsidRPr="00FF64B7">
        <w:rPr>
          <w:rFonts w:ascii="David" w:hAnsi="David" w:hint="cs"/>
          <w:b/>
          <w:bCs/>
          <w:sz w:val="22"/>
          <w:szCs w:val="22"/>
          <w:rtl/>
        </w:rPr>
        <w:t>תרשים ש8:</w:t>
      </w:r>
      <w:r w:rsidR="003C3711" w:rsidRPr="00FF64B7">
        <w:rPr>
          <w:rFonts w:ascii="David" w:hAnsi="David" w:hint="cs"/>
          <w:b/>
          <w:bCs/>
          <w:sz w:val="22"/>
          <w:szCs w:val="22"/>
          <w:rtl/>
        </w:rPr>
        <w:t xml:space="preserve"> </w:t>
      </w:r>
      <w:r w:rsidR="003C3711" w:rsidRPr="00FF64B7">
        <w:rPr>
          <w:rFonts w:ascii="David" w:hAnsi="David"/>
          <w:b/>
          <w:bCs/>
          <w:sz w:val="22"/>
          <w:szCs w:val="22"/>
          <w:rtl/>
        </w:rPr>
        <w:t xml:space="preserve">שיעור נשירה לפי </w:t>
      </w:r>
      <w:r w:rsidR="003C3711" w:rsidRPr="00FF64B7">
        <w:rPr>
          <w:rFonts w:ascii="David" w:hAnsi="David" w:hint="cs"/>
          <w:b/>
          <w:bCs/>
          <w:sz w:val="22"/>
          <w:szCs w:val="22"/>
          <w:rtl/>
        </w:rPr>
        <w:t>סוג מוסד</w:t>
      </w:r>
      <w:r w:rsidR="003C3711" w:rsidRPr="00FF64B7">
        <w:rPr>
          <w:rFonts w:ascii="David" w:hAnsi="David"/>
          <w:b/>
          <w:bCs/>
          <w:sz w:val="22"/>
          <w:szCs w:val="22"/>
          <w:rtl/>
        </w:rPr>
        <w:t xml:space="preserve"> ותחום לימוד</w:t>
      </w:r>
    </w:p>
    <w:p w:rsidR="003C3711" w:rsidRDefault="00FF64B7" w:rsidP="003C3711">
      <w:pPr>
        <w:rPr>
          <w:rFonts w:ascii="David" w:hAnsi="David"/>
          <w:rtl/>
        </w:rPr>
      </w:pPr>
      <w:r>
        <w:rPr>
          <w:rFonts w:ascii="David" w:hAnsi="David"/>
          <w:noProof/>
        </w:rPr>
        <w:lastRenderedPageBreak/>
        <w:drawing>
          <wp:inline distT="0" distB="0" distL="0" distR="0" wp14:anchorId="048B0E62">
            <wp:extent cx="5273675" cy="3505200"/>
            <wp:effectExtent l="0" t="0" r="3175" b="0"/>
            <wp:docPr id="199" name="תמונה 199" descr="תרשים ש8: שיעור נשירה לפי סוג מוסד ותחום לימו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3675" cy="3505200"/>
                    </a:xfrm>
                    <a:prstGeom prst="rect">
                      <a:avLst/>
                    </a:prstGeom>
                    <a:noFill/>
                  </pic:spPr>
                </pic:pic>
              </a:graphicData>
            </a:graphic>
          </wp:inline>
        </w:drawing>
      </w:r>
    </w:p>
    <w:p w:rsidR="003C3711" w:rsidRDefault="003C3711" w:rsidP="003C3711">
      <w:pPr>
        <w:spacing w:line="240" w:lineRule="auto"/>
        <w:rPr>
          <w:rFonts w:ascii="David" w:hAnsi="David"/>
          <w:sz w:val="20"/>
          <w:szCs w:val="20"/>
          <w:rtl/>
        </w:rPr>
      </w:pPr>
      <w:r>
        <w:rPr>
          <w:rFonts w:ascii="David" w:hAnsi="David" w:hint="cs"/>
          <w:sz w:val="20"/>
          <w:szCs w:val="20"/>
          <w:rtl/>
        </w:rPr>
        <w:t>מקור: הלשכה המרכזית לסטטיסטיקה, עיבודי אגף הכלכלן הראשי. שיעור הנשירה מתייחס ל</w:t>
      </w:r>
      <w:r>
        <w:rPr>
          <w:rFonts w:ascii="David" w:hAnsi="David"/>
          <w:sz w:val="20"/>
          <w:szCs w:val="20"/>
          <w:rtl/>
        </w:rPr>
        <w:t>סטודנטים שהחלו ללמוד בשנ</w:t>
      </w:r>
      <w:r>
        <w:rPr>
          <w:rFonts w:ascii="David" w:hAnsi="David" w:hint="cs"/>
          <w:sz w:val="20"/>
          <w:szCs w:val="20"/>
          <w:rtl/>
        </w:rPr>
        <w:t>ה האקדמית</w:t>
      </w:r>
      <w:r w:rsidRPr="00D63C61">
        <w:rPr>
          <w:rFonts w:ascii="David" w:hAnsi="David"/>
          <w:sz w:val="20"/>
          <w:szCs w:val="20"/>
          <w:rtl/>
        </w:rPr>
        <w:t xml:space="preserve"> </w:t>
      </w:r>
      <w:r>
        <w:rPr>
          <w:rFonts w:ascii="David" w:hAnsi="David"/>
          <w:sz w:val="20"/>
          <w:szCs w:val="20"/>
          <w:rtl/>
        </w:rPr>
        <w:t>2015/16 והפסיקו ללמוד בשנ</w:t>
      </w:r>
      <w:r>
        <w:rPr>
          <w:rFonts w:ascii="David" w:hAnsi="David" w:hint="cs"/>
          <w:sz w:val="20"/>
          <w:szCs w:val="20"/>
          <w:rtl/>
        </w:rPr>
        <w:t>ה האקדמית</w:t>
      </w:r>
      <w:r w:rsidRPr="00D63C61">
        <w:rPr>
          <w:rFonts w:ascii="David" w:hAnsi="David"/>
          <w:sz w:val="20"/>
          <w:szCs w:val="20"/>
          <w:rtl/>
        </w:rPr>
        <w:t xml:space="preserve"> 2016/17</w:t>
      </w:r>
      <w:r>
        <w:rPr>
          <w:rFonts w:ascii="David" w:hAnsi="David" w:hint="cs"/>
          <w:sz w:val="20"/>
          <w:szCs w:val="20"/>
          <w:rtl/>
        </w:rPr>
        <w:t>. נתוני הנשירה אינם כוללים מעבר לחוג אחר באותו מוסד. הנתונים אינם כוללים מכללות אקדמאיות לחינוך.</w:t>
      </w:r>
    </w:p>
    <w:p w:rsidR="003C3711" w:rsidRDefault="003C3711" w:rsidP="003C3711">
      <w:pPr>
        <w:rPr>
          <w:rFonts w:ascii="David" w:hAnsi="David"/>
          <w:rtl/>
        </w:rPr>
      </w:pPr>
      <w:r>
        <w:rPr>
          <w:rFonts w:ascii="David" w:hAnsi="David" w:hint="cs"/>
          <w:rtl/>
        </w:rPr>
        <w:t>תרשים ש9 מציג את שיעורי הנשירה לפי תחום לימוד ומגדר. מהתרשים עולה כי שיעורי נשירה גבוהים יחסית נרשמים בתחומי מדעי הרוח הכלליים, המדעים הפיסיקאליים ובתחום החינוך; ושיעורי נשירה נמוכים נרשמים בתחומי הרפואה, החברה וההנדסה. כמו כן עולה כי שיעורי הנשירה של גברים גבוהים בהשוואה לנשים כמעט בכל תחומי הלימוד. מבחינה זו מעניין כי שיעורי הנשירה בקרב נשים אינם נמוכים יותר מגברים בתחומי הלימוד הריאליים. עם זאת, ממצא זה אינו גורף כאשר קיימת שונות רבה גם ברמת מקצוע הלימוד בין שיעורי הנשירה במוסדות הלימוד.</w:t>
      </w:r>
    </w:p>
    <w:p w:rsidR="003C3711" w:rsidRDefault="003C3711" w:rsidP="003C3711">
      <w:pPr>
        <w:bidi w:val="0"/>
        <w:rPr>
          <w:rFonts w:ascii="David" w:hAnsi="David"/>
          <w:b/>
          <w:bCs/>
          <w:rtl/>
        </w:rPr>
      </w:pPr>
      <w:r>
        <w:rPr>
          <w:rFonts w:ascii="David" w:hAnsi="David"/>
          <w:b/>
          <w:bCs/>
          <w:rtl/>
        </w:rPr>
        <w:br w:type="page"/>
      </w:r>
    </w:p>
    <w:p w:rsidR="003C3711" w:rsidRPr="00FF64B7" w:rsidRDefault="00FF64B7" w:rsidP="003C3711">
      <w:pPr>
        <w:jc w:val="center"/>
        <w:rPr>
          <w:rFonts w:ascii="David" w:hAnsi="David"/>
          <w:b/>
          <w:bCs/>
          <w:sz w:val="22"/>
          <w:szCs w:val="22"/>
          <w:rtl/>
        </w:rPr>
      </w:pPr>
      <w:r>
        <w:rPr>
          <w:rFonts w:ascii="David" w:hAnsi="David" w:hint="cs"/>
          <w:b/>
          <w:bCs/>
          <w:sz w:val="22"/>
          <w:szCs w:val="22"/>
          <w:rtl/>
        </w:rPr>
        <w:lastRenderedPageBreak/>
        <w:t>תרשים ש9:</w:t>
      </w:r>
      <w:r w:rsidR="003C3711" w:rsidRPr="00FF64B7">
        <w:rPr>
          <w:rFonts w:ascii="David" w:hAnsi="David" w:hint="cs"/>
          <w:b/>
          <w:bCs/>
          <w:sz w:val="22"/>
          <w:szCs w:val="22"/>
          <w:rtl/>
        </w:rPr>
        <w:t xml:space="preserve"> </w:t>
      </w:r>
      <w:r w:rsidR="003C3711" w:rsidRPr="00FF64B7">
        <w:rPr>
          <w:rFonts w:ascii="David" w:hAnsi="David"/>
          <w:b/>
          <w:bCs/>
          <w:sz w:val="22"/>
          <w:szCs w:val="22"/>
          <w:rtl/>
        </w:rPr>
        <w:t>שיעור נשירה לפי מגדר ותחום לימוד</w:t>
      </w:r>
    </w:p>
    <w:p w:rsidR="003C3711" w:rsidRDefault="00FF64B7" w:rsidP="003C3711">
      <w:pPr>
        <w:jc w:val="center"/>
        <w:rPr>
          <w:rFonts w:ascii="David" w:hAnsi="David"/>
          <w:b/>
          <w:bCs/>
          <w:rtl/>
        </w:rPr>
      </w:pPr>
      <w:r>
        <w:rPr>
          <w:rFonts w:ascii="David" w:hAnsi="David"/>
          <w:b/>
          <w:bCs/>
          <w:noProof/>
        </w:rPr>
        <w:drawing>
          <wp:inline distT="0" distB="0" distL="0" distR="0" wp14:anchorId="2E56C6A9">
            <wp:extent cx="5017135" cy="4041775"/>
            <wp:effectExtent l="0" t="0" r="0" b="0"/>
            <wp:docPr id="200" name="תמונה 200" descr="תרשים ש9: שיעור נשירה לפי מגדר ותחום לימו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7135" cy="4041775"/>
                    </a:xfrm>
                    <a:prstGeom prst="rect">
                      <a:avLst/>
                    </a:prstGeom>
                    <a:noFill/>
                  </pic:spPr>
                </pic:pic>
              </a:graphicData>
            </a:graphic>
          </wp:inline>
        </w:drawing>
      </w:r>
    </w:p>
    <w:p w:rsidR="003C3711" w:rsidRDefault="003C3711" w:rsidP="003C3711">
      <w:pPr>
        <w:spacing w:line="240" w:lineRule="auto"/>
        <w:rPr>
          <w:rFonts w:ascii="David" w:hAnsi="David"/>
          <w:sz w:val="20"/>
          <w:szCs w:val="20"/>
          <w:rtl/>
        </w:rPr>
      </w:pPr>
      <w:r>
        <w:rPr>
          <w:rFonts w:ascii="David" w:hAnsi="David" w:hint="cs"/>
          <w:sz w:val="20"/>
          <w:szCs w:val="20"/>
          <w:rtl/>
        </w:rPr>
        <w:t>מקור: הלשכה המרכזית לסטטיסטיקה, עיבודי אגף הכלכלן הראשי. שיעור הנשירה מתייחס ל</w:t>
      </w:r>
      <w:r>
        <w:rPr>
          <w:rFonts w:ascii="David" w:hAnsi="David"/>
          <w:sz w:val="20"/>
          <w:szCs w:val="20"/>
          <w:rtl/>
        </w:rPr>
        <w:t>סטודנטים שהחלו ללמוד בשנ</w:t>
      </w:r>
      <w:r>
        <w:rPr>
          <w:rFonts w:ascii="David" w:hAnsi="David" w:hint="cs"/>
          <w:sz w:val="20"/>
          <w:szCs w:val="20"/>
          <w:rtl/>
        </w:rPr>
        <w:t>ה האקדמית</w:t>
      </w:r>
      <w:r w:rsidRPr="00D63C61">
        <w:rPr>
          <w:rFonts w:ascii="David" w:hAnsi="David"/>
          <w:sz w:val="20"/>
          <w:szCs w:val="20"/>
          <w:rtl/>
        </w:rPr>
        <w:t xml:space="preserve"> </w:t>
      </w:r>
      <w:r>
        <w:rPr>
          <w:rFonts w:ascii="David" w:hAnsi="David"/>
          <w:sz w:val="20"/>
          <w:szCs w:val="20"/>
          <w:rtl/>
        </w:rPr>
        <w:t>2015/16 והפסיקו ללמוד בשנ</w:t>
      </w:r>
      <w:r>
        <w:rPr>
          <w:rFonts w:ascii="David" w:hAnsi="David" w:hint="cs"/>
          <w:sz w:val="20"/>
          <w:szCs w:val="20"/>
          <w:rtl/>
        </w:rPr>
        <w:t>ה האקדמית</w:t>
      </w:r>
      <w:r w:rsidRPr="00D63C61">
        <w:rPr>
          <w:rFonts w:ascii="David" w:hAnsi="David"/>
          <w:sz w:val="20"/>
          <w:szCs w:val="20"/>
          <w:rtl/>
        </w:rPr>
        <w:t xml:space="preserve"> 2016/17</w:t>
      </w:r>
      <w:r>
        <w:rPr>
          <w:rFonts w:ascii="David" w:hAnsi="David" w:hint="cs"/>
          <w:sz w:val="20"/>
          <w:szCs w:val="20"/>
          <w:rtl/>
        </w:rPr>
        <w:t>. נתוני הנשירה אינם כוללים מעבר לחוג אחר באותו מוסד.</w:t>
      </w:r>
    </w:p>
    <w:p w:rsidR="003C3711" w:rsidRDefault="003C3711" w:rsidP="003C3711">
      <w:pPr>
        <w:rPr>
          <w:rFonts w:ascii="David" w:hAnsi="David"/>
          <w:rtl/>
        </w:rPr>
      </w:pPr>
    </w:p>
    <w:p w:rsidR="003C3711" w:rsidRDefault="003C3711" w:rsidP="003C3711">
      <w:pPr>
        <w:rPr>
          <w:rFonts w:ascii="David" w:hAnsi="David"/>
          <w:rtl/>
        </w:rPr>
      </w:pPr>
      <w:r>
        <w:rPr>
          <w:rFonts w:ascii="David" w:hAnsi="David" w:hint="cs"/>
          <w:rtl/>
        </w:rPr>
        <w:t>תרשים ש10 מציג את הקשר בין הציון במבחן הפסיכומטרי לשיעור הנשירה. מתרשים זה עולה כי לא קיים קשר מובהק בין שני משתנים אלה, חיובי או שלילי. במילים אחרות, סטודנטים במסלולי לימוד סלקטיביים אינם נוטים לנשור מלימודיהם יותר או פחות מתלמידים במסלולי לימוד פחות סלקטיביים. עם זאת, אין להסיק מכך כי אין קשר בין רמת הסלקטיביות של מסלול הלימוד לבין רמת הדרישות מהסטודנט; תוצאה זו מתקבלת כיוון שרמת הסלקטיביות נקבעת על מנת להבטיח כי רק סטודנטים שמתאימים לדרישות המסלול יתקבלו. כך, סביר להניח כי עבור ציון פסיכומטרי נתון, הסתברות הנשירה תעלה ככל שהמסלול יהיה סלקטיבי יותר. כמו כן עולה מהתרשים כי שיעור הנשירה הממוצע הוא נתון שראוי לקחת בחשבון בעת בחירת מסלול הלימוד לאור השונות הגבוהה בין המסלולים. כך, בעוד שב-74% ממסלולי הלימוד (עבורם ישנם נתונים) שיעור הנשירה הוא נמוךמ-10%, ישנם מסלולי לימוד בהם שיעור הנשירה מגיע ל-30% ויותר.</w:t>
      </w:r>
    </w:p>
    <w:p w:rsidR="003C3711" w:rsidRDefault="003C3711" w:rsidP="003C3711">
      <w:pPr>
        <w:bidi w:val="0"/>
        <w:rPr>
          <w:rFonts w:ascii="David" w:hAnsi="David"/>
          <w:b/>
          <w:bCs/>
        </w:rPr>
      </w:pPr>
      <w:r>
        <w:rPr>
          <w:rFonts w:ascii="David" w:hAnsi="David"/>
          <w:b/>
          <w:bCs/>
          <w:rtl/>
        </w:rPr>
        <w:lastRenderedPageBreak/>
        <w:br w:type="page"/>
      </w:r>
    </w:p>
    <w:p w:rsidR="003C3711" w:rsidRPr="00FF64B7" w:rsidRDefault="00FF64B7" w:rsidP="00FF64B7">
      <w:pPr>
        <w:spacing w:before="0" w:after="0" w:line="240" w:lineRule="auto"/>
        <w:jc w:val="center"/>
        <w:rPr>
          <w:rFonts w:ascii="David" w:hAnsi="David"/>
          <w:b/>
          <w:bCs/>
          <w:sz w:val="22"/>
          <w:szCs w:val="22"/>
          <w:rtl/>
        </w:rPr>
      </w:pPr>
      <w:r w:rsidRPr="00FF64B7">
        <w:rPr>
          <w:rFonts w:ascii="David" w:hAnsi="David" w:hint="cs"/>
          <w:b/>
          <w:bCs/>
          <w:sz w:val="22"/>
          <w:szCs w:val="22"/>
          <w:rtl/>
        </w:rPr>
        <w:lastRenderedPageBreak/>
        <w:t>תרשים ש10:</w:t>
      </w:r>
      <w:r w:rsidR="003C3711" w:rsidRPr="00FF64B7">
        <w:rPr>
          <w:rFonts w:ascii="David" w:hAnsi="David" w:hint="cs"/>
          <w:b/>
          <w:bCs/>
          <w:sz w:val="22"/>
          <w:szCs w:val="22"/>
          <w:rtl/>
        </w:rPr>
        <w:t xml:space="preserve"> שיעור הנשירה והציון הפסיכומטרי</w:t>
      </w:r>
    </w:p>
    <w:p w:rsidR="003C3711" w:rsidRPr="00ED0B45" w:rsidRDefault="00FF64B7" w:rsidP="00FF64B7">
      <w:pPr>
        <w:spacing w:before="0" w:after="0" w:line="240" w:lineRule="auto"/>
        <w:jc w:val="center"/>
        <w:rPr>
          <w:rFonts w:ascii="David" w:hAnsi="David"/>
          <w:b/>
          <w:bCs/>
          <w:rtl/>
        </w:rPr>
      </w:pPr>
      <w:r>
        <w:rPr>
          <w:rFonts w:ascii="David" w:hAnsi="David"/>
          <w:b/>
          <w:bCs/>
          <w:noProof/>
        </w:rPr>
        <w:drawing>
          <wp:inline distT="0" distB="0" distL="0" distR="0" wp14:anchorId="2DA1551F">
            <wp:extent cx="5273675" cy="3792220"/>
            <wp:effectExtent l="0" t="0" r="3175" b="0"/>
            <wp:docPr id="201" name="תמונה 201" descr="תרשים ש10: שיעור הנשירה והציון הפסיכומטר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3675" cy="3792220"/>
                    </a:xfrm>
                    <a:prstGeom prst="rect">
                      <a:avLst/>
                    </a:prstGeom>
                    <a:noFill/>
                  </pic:spPr>
                </pic:pic>
              </a:graphicData>
            </a:graphic>
          </wp:inline>
        </w:drawing>
      </w:r>
    </w:p>
    <w:p w:rsidR="003C3711" w:rsidRDefault="003C3711" w:rsidP="00FF64B7">
      <w:pPr>
        <w:spacing w:before="0" w:after="0" w:line="240" w:lineRule="auto"/>
        <w:rPr>
          <w:rFonts w:ascii="David" w:hAnsi="David"/>
          <w:sz w:val="20"/>
          <w:szCs w:val="20"/>
          <w:rtl/>
        </w:rPr>
      </w:pPr>
      <w:r>
        <w:rPr>
          <w:rFonts w:ascii="David" w:hAnsi="David" w:hint="cs"/>
          <w:sz w:val="20"/>
          <w:szCs w:val="20"/>
          <w:rtl/>
        </w:rPr>
        <w:t>מקור: הלשכה המרכזית לסטטיסטיקה, עיבודי אגף הכלכלן הראשי. כל נקודה בתרשים מייצגת תחום לימוד במוסד מסוים (לדוגמה, מדעי החברה באוניברסיטה העברית). הציון הפסיכומטרי מתייחס לסטודנטים בשנת 2018/19, שיעור הנשירה מתייחס ל</w:t>
      </w:r>
      <w:r>
        <w:rPr>
          <w:rFonts w:ascii="David" w:hAnsi="David"/>
          <w:sz w:val="20"/>
          <w:szCs w:val="20"/>
          <w:rtl/>
        </w:rPr>
        <w:t>סטודנטים שהחלו ללמוד בשנ</w:t>
      </w:r>
      <w:r>
        <w:rPr>
          <w:rFonts w:ascii="David" w:hAnsi="David" w:hint="cs"/>
          <w:sz w:val="20"/>
          <w:szCs w:val="20"/>
          <w:rtl/>
        </w:rPr>
        <w:t>ה האקדמית</w:t>
      </w:r>
      <w:r w:rsidRPr="00D63C61">
        <w:rPr>
          <w:rFonts w:ascii="David" w:hAnsi="David"/>
          <w:sz w:val="20"/>
          <w:szCs w:val="20"/>
          <w:rtl/>
        </w:rPr>
        <w:t xml:space="preserve"> </w:t>
      </w:r>
      <w:r>
        <w:rPr>
          <w:rFonts w:ascii="David" w:hAnsi="David"/>
          <w:sz w:val="20"/>
          <w:szCs w:val="20"/>
          <w:rtl/>
        </w:rPr>
        <w:t>2015/16 והפסיקו ללמוד בשנ</w:t>
      </w:r>
      <w:r>
        <w:rPr>
          <w:rFonts w:ascii="David" w:hAnsi="David" w:hint="cs"/>
          <w:sz w:val="20"/>
          <w:szCs w:val="20"/>
          <w:rtl/>
        </w:rPr>
        <w:t>ה האקדמית</w:t>
      </w:r>
      <w:r w:rsidRPr="00D63C61">
        <w:rPr>
          <w:rFonts w:ascii="David" w:hAnsi="David"/>
          <w:sz w:val="20"/>
          <w:szCs w:val="20"/>
          <w:rtl/>
        </w:rPr>
        <w:t xml:space="preserve"> 2016/17</w:t>
      </w:r>
      <w:r>
        <w:rPr>
          <w:rFonts w:ascii="David" w:hAnsi="David" w:hint="cs"/>
          <w:sz w:val="20"/>
          <w:szCs w:val="20"/>
          <w:rtl/>
        </w:rPr>
        <w:t>. נתוני הנשירה אינם כוללים מעבר לחוג אחר באותו מוסד.</w:t>
      </w:r>
    </w:p>
    <w:p w:rsidR="003C3711" w:rsidRDefault="003C3711" w:rsidP="003C3711">
      <w:pPr>
        <w:rPr>
          <w:rFonts w:ascii="David" w:hAnsi="David"/>
          <w:rtl/>
        </w:rPr>
      </w:pPr>
    </w:p>
    <w:p w:rsidR="003C3711" w:rsidRPr="002D5B24" w:rsidRDefault="003C3711" w:rsidP="003C3711">
      <w:pPr>
        <w:rPr>
          <w:rFonts w:ascii="David" w:hAnsi="David"/>
          <w:rtl/>
        </w:rPr>
      </w:pPr>
      <w:r w:rsidRPr="002D5B24">
        <w:rPr>
          <w:rFonts w:ascii="David" w:hAnsi="David" w:hint="cs"/>
          <w:rtl/>
        </w:rPr>
        <w:t xml:space="preserve">תרשים </w:t>
      </w:r>
      <w:r>
        <w:rPr>
          <w:rFonts w:ascii="David" w:hAnsi="David" w:hint="cs"/>
          <w:rtl/>
        </w:rPr>
        <w:t>ש11</w:t>
      </w:r>
      <w:r w:rsidRPr="002D5B24">
        <w:rPr>
          <w:rFonts w:ascii="David" w:hAnsi="David" w:hint="cs"/>
          <w:rtl/>
        </w:rPr>
        <w:t xml:space="preserve"> מציג את הקשר בין הציון הפסיכומטרי ושיעור המסיימים בזמן תקני.</w:t>
      </w:r>
      <w:r>
        <w:rPr>
          <w:rFonts w:ascii="David" w:hAnsi="David" w:hint="cs"/>
          <w:rtl/>
        </w:rPr>
        <w:t xml:space="preserve"> גם בבחינה זו לא מסתמן קשר חיובי או שלילי ברור בין שני המשתנים, קרי סטודנטים במסלולי לימוד סלקטיביים אינם נוטים לסיים את לימודיהם בזמן תקני באופן תדיר יותר או פחות מסטודנטים במסלולים סלקטיביים פחות. עם זאת, הסבירות לסיים בזמן תקני צריכה גם היא להילקח בחשבון על ידי סטודנטים פוטנציאליים עקב השונות הגבוהה בין מסלולי הלימוד כאשר בכ-13% ממסלולי הלימוד פחות מ-50% מהסטודנטים מסיימים את לימודיהם בזמן תקני.</w:t>
      </w:r>
    </w:p>
    <w:p w:rsidR="003C3711" w:rsidRDefault="003C3711" w:rsidP="003C3711">
      <w:pPr>
        <w:bidi w:val="0"/>
        <w:rPr>
          <w:rFonts w:ascii="David" w:hAnsi="David"/>
          <w:b/>
          <w:bCs/>
          <w:rtl/>
        </w:rPr>
      </w:pPr>
      <w:r>
        <w:rPr>
          <w:rFonts w:ascii="David" w:hAnsi="David"/>
          <w:b/>
          <w:bCs/>
          <w:rtl/>
        </w:rPr>
        <w:br w:type="page"/>
      </w:r>
    </w:p>
    <w:p w:rsidR="003C3711" w:rsidRPr="00FF64B7" w:rsidRDefault="00FF64B7" w:rsidP="003C3711">
      <w:pPr>
        <w:spacing w:line="240" w:lineRule="auto"/>
        <w:jc w:val="center"/>
        <w:rPr>
          <w:rFonts w:ascii="David" w:hAnsi="David"/>
          <w:b/>
          <w:bCs/>
          <w:sz w:val="22"/>
          <w:szCs w:val="22"/>
          <w:rtl/>
        </w:rPr>
      </w:pPr>
      <w:r>
        <w:rPr>
          <w:rFonts w:ascii="David" w:hAnsi="David" w:hint="cs"/>
          <w:b/>
          <w:bCs/>
          <w:sz w:val="22"/>
          <w:szCs w:val="22"/>
          <w:rtl/>
        </w:rPr>
        <w:lastRenderedPageBreak/>
        <w:t>תרשים ש11:</w:t>
      </w:r>
      <w:r w:rsidR="003C3711" w:rsidRPr="00FF64B7">
        <w:rPr>
          <w:rFonts w:ascii="David" w:hAnsi="David" w:hint="cs"/>
          <w:b/>
          <w:bCs/>
          <w:sz w:val="22"/>
          <w:szCs w:val="22"/>
          <w:rtl/>
        </w:rPr>
        <w:t xml:space="preserve"> ציון פסיכומטרי ושיעור המסיימים בזמן תקני</w:t>
      </w:r>
    </w:p>
    <w:p w:rsidR="003C3711" w:rsidRDefault="00FF64B7" w:rsidP="003C3711">
      <w:pPr>
        <w:jc w:val="center"/>
        <w:rPr>
          <w:rFonts w:ascii="David" w:hAnsi="David"/>
          <w:b/>
          <w:bCs/>
          <w:rtl/>
        </w:rPr>
      </w:pPr>
      <w:r>
        <w:rPr>
          <w:rFonts w:ascii="David" w:hAnsi="David"/>
          <w:b/>
          <w:bCs/>
          <w:noProof/>
        </w:rPr>
        <w:drawing>
          <wp:inline distT="0" distB="0" distL="0" distR="0" wp14:anchorId="49AB68BC">
            <wp:extent cx="5273675" cy="3792220"/>
            <wp:effectExtent l="0" t="0" r="3175" b="0"/>
            <wp:docPr id="205" name="תמונה 205" descr="תרשים ש11: ציון פסיכומטרי ושיעור המסיימים בזמן תקנ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3675" cy="3792220"/>
                    </a:xfrm>
                    <a:prstGeom prst="rect">
                      <a:avLst/>
                    </a:prstGeom>
                    <a:noFill/>
                  </pic:spPr>
                </pic:pic>
              </a:graphicData>
            </a:graphic>
          </wp:inline>
        </w:drawing>
      </w:r>
    </w:p>
    <w:p w:rsidR="003C3711" w:rsidRDefault="003C3711" w:rsidP="003C3711">
      <w:pPr>
        <w:spacing w:line="240" w:lineRule="auto"/>
        <w:rPr>
          <w:rFonts w:ascii="David" w:hAnsi="David"/>
          <w:sz w:val="20"/>
          <w:szCs w:val="20"/>
          <w:rtl/>
        </w:rPr>
      </w:pPr>
      <w:r>
        <w:rPr>
          <w:rFonts w:ascii="David" w:hAnsi="David" w:hint="cs"/>
          <w:sz w:val="20"/>
          <w:szCs w:val="20"/>
          <w:rtl/>
        </w:rPr>
        <w:t xml:space="preserve">מקור: הלשכה המרכזית לסטטיסטיקה, עיבודי אגף הכלכלן הראשי. כל נקודה בתרשים מייצגת תחום לימוד במוסד מסוים (לדוגמה, מדעי החברה באוניברסיטה העברית). הציון הפסיכומטרי מתייחס לסטודנטים בשנת 2018/19, שיעור המסיימים בזמן תקני מבוסס על ממוצע רב שנתי עבור 2010-2018. </w:t>
      </w:r>
    </w:p>
    <w:p w:rsidR="003C3711" w:rsidRDefault="003C3711" w:rsidP="003C3711">
      <w:pPr>
        <w:rPr>
          <w:rFonts w:ascii="David" w:hAnsi="David"/>
          <w:rtl/>
        </w:rPr>
      </w:pPr>
    </w:p>
    <w:p w:rsidR="003C3711" w:rsidRPr="001757B3" w:rsidRDefault="003C3711" w:rsidP="003C3711">
      <w:pPr>
        <w:bidi w:val="0"/>
        <w:rPr>
          <w:rFonts w:ascii="David" w:hAnsi="David"/>
          <w:sz w:val="18"/>
          <w:szCs w:val="18"/>
          <w:rtl/>
        </w:rPr>
      </w:pPr>
    </w:p>
    <w:p w:rsidR="00590511" w:rsidRPr="003C3711" w:rsidRDefault="00590511" w:rsidP="003C3711">
      <w:pPr>
        <w:rPr>
          <w:rtl/>
        </w:rPr>
      </w:pPr>
    </w:p>
    <w:sectPr w:rsidR="00590511" w:rsidRPr="003C3711" w:rsidSect="00F1439E">
      <w:headerReference w:type="default" r:id="rId19"/>
      <w:footerReference w:type="default" r:id="rId20"/>
      <w:pgSz w:w="11906" w:h="16838"/>
      <w:pgMar w:top="297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7B8" w:rsidRDefault="00C457B8" w:rsidP="00E70797">
      <w:pPr>
        <w:spacing w:before="0" w:after="0" w:line="240" w:lineRule="auto"/>
      </w:pPr>
      <w:r>
        <w:separator/>
      </w:r>
    </w:p>
  </w:endnote>
  <w:endnote w:type="continuationSeparator" w:id="0">
    <w:p w:rsidR="00C457B8" w:rsidRDefault="00C457B8" w:rsidP="00E707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05002677"/>
      <w:docPartObj>
        <w:docPartGallery w:val="Page Numbers (Bottom of Page)"/>
        <w:docPartUnique/>
      </w:docPartObj>
    </w:sdtPr>
    <w:sdtEndPr/>
    <w:sdtContent>
      <w:p w:rsidR="003C3711" w:rsidRDefault="003C3711">
        <w:pPr>
          <w:pStyle w:val="aa"/>
          <w:jc w:val="right"/>
          <w:rPr>
            <w:rtl/>
            <w:cs/>
          </w:rPr>
        </w:pPr>
        <w:r>
          <w:fldChar w:fldCharType="begin"/>
        </w:r>
        <w:r>
          <w:rPr>
            <w:rtl/>
            <w:cs/>
          </w:rPr>
          <w:instrText>PAGE   \* MERGEFORMAT</w:instrText>
        </w:r>
        <w:r>
          <w:fldChar w:fldCharType="separate"/>
        </w:r>
        <w:r w:rsidR="0085596E" w:rsidRPr="0085596E">
          <w:rPr>
            <w:noProof/>
            <w:rtl/>
            <w:lang w:val="he-IL"/>
          </w:rPr>
          <w:t>1</w:t>
        </w:r>
        <w:r>
          <w:fldChar w:fldCharType="end"/>
        </w:r>
      </w:p>
    </w:sdtContent>
  </w:sdt>
  <w:p w:rsidR="003C3711" w:rsidRDefault="003C371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7B8" w:rsidRDefault="00C457B8" w:rsidP="00E70797">
      <w:pPr>
        <w:spacing w:before="0" w:after="0" w:line="240" w:lineRule="auto"/>
      </w:pPr>
      <w:r>
        <w:separator/>
      </w:r>
    </w:p>
  </w:footnote>
  <w:footnote w:type="continuationSeparator" w:id="0">
    <w:p w:rsidR="00C457B8" w:rsidRDefault="00C457B8" w:rsidP="00E70797">
      <w:pPr>
        <w:spacing w:before="0" w:after="0" w:line="240" w:lineRule="auto"/>
      </w:pPr>
      <w:r>
        <w:continuationSeparator/>
      </w:r>
    </w:p>
  </w:footnote>
  <w:footnote w:id="1">
    <w:p w:rsidR="003C3711" w:rsidRDefault="003C3711" w:rsidP="003C3711">
      <w:pPr>
        <w:pStyle w:val="ae"/>
        <w:bidi w:val="0"/>
        <w:jc w:val="both"/>
        <w:rPr>
          <w:rFonts w:ascii="David" w:hAnsi="David"/>
          <w:rtl/>
        </w:rPr>
      </w:pPr>
      <w:r w:rsidRPr="002A1A94">
        <w:rPr>
          <w:rStyle w:val="af0"/>
          <w:rFonts w:ascii="David" w:hAnsi="David"/>
        </w:rPr>
        <w:footnoteRef/>
      </w:r>
      <w:r w:rsidRPr="002A1A94">
        <w:rPr>
          <w:rFonts w:ascii="David" w:hAnsi="David"/>
          <w:rtl/>
        </w:rPr>
        <w:t xml:space="preserve"> </w:t>
      </w:r>
      <w:r w:rsidRPr="002A1A94">
        <w:rPr>
          <w:rFonts w:ascii="David" w:hAnsi="David"/>
        </w:rPr>
        <w:t xml:space="preserve">Ze'ev </w:t>
      </w:r>
      <w:r>
        <w:rPr>
          <w:rFonts w:ascii="David" w:hAnsi="David"/>
        </w:rPr>
        <w:t>Krill</w:t>
      </w:r>
      <w:r w:rsidRPr="002A1A94">
        <w:rPr>
          <w:rFonts w:ascii="David" w:hAnsi="David"/>
        </w:rPr>
        <w:t>, Assaf Geva, and Tslil Aloni. "The effect of the field of study on the higher education wage premium—Evidence from Israel." Labour 33.3 (2019): 388-423</w:t>
      </w:r>
    </w:p>
    <w:p w:rsidR="003C3711" w:rsidRPr="002A1A94" w:rsidRDefault="003C3711" w:rsidP="003C3711">
      <w:pPr>
        <w:pStyle w:val="ae"/>
        <w:jc w:val="both"/>
        <w:rPr>
          <w:rFonts w:ascii="David" w:hAnsi="David"/>
          <w:rtl/>
        </w:rPr>
      </w:pPr>
      <w:r>
        <w:rPr>
          <w:rFonts w:ascii="David" w:hAnsi="David" w:hint="cs"/>
          <w:rtl/>
        </w:rPr>
        <w:t xml:space="preserve">קישור לגרסה בעברית: </w:t>
      </w:r>
      <w:hyperlink r:id="rId1" w:history="1">
        <w:r w:rsidRPr="004A0C3F">
          <w:rPr>
            <w:rStyle w:val="Hyperlink"/>
            <w:rFonts w:ascii="David" w:hAnsi="David"/>
          </w:rPr>
          <w:t>https://mof.gov.il/ChiefEcon/EconomyAndResearch/ArticlesSet/Article_27122016.pdf</w:t>
        </w:r>
      </w:hyperlink>
    </w:p>
  </w:footnote>
  <w:footnote w:id="2">
    <w:p w:rsidR="003C3711" w:rsidRDefault="003C3711" w:rsidP="003C3711">
      <w:pPr>
        <w:pStyle w:val="ae"/>
        <w:jc w:val="both"/>
        <w:rPr>
          <w:rFonts w:ascii="David" w:hAnsi="David"/>
          <w:rtl/>
        </w:rPr>
      </w:pPr>
      <w:r w:rsidRPr="002A1A94">
        <w:rPr>
          <w:rStyle w:val="af0"/>
          <w:rFonts w:ascii="David" w:hAnsi="David"/>
        </w:rPr>
        <w:footnoteRef/>
      </w:r>
      <w:r w:rsidRPr="002A1A94">
        <w:rPr>
          <w:rFonts w:ascii="David" w:hAnsi="David"/>
          <w:rtl/>
        </w:rPr>
        <w:t xml:space="preserve"> לאה אחדות, אלעד גוטמן, נעם זוסמן, עידן ל</w:t>
      </w:r>
      <w:r>
        <w:rPr>
          <w:rFonts w:ascii="David" w:hAnsi="David" w:hint="cs"/>
          <w:rtl/>
        </w:rPr>
        <w:t>י</w:t>
      </w:r>
      <w:r w:rsidRPr="002A1A94">
        <w:rPr>
          <w:rFonts w:ascii="David" w:hAnsi="David"/>
          <w:rtl/>
        </w:rPr>
        <w:t>פינר וענבל מעין (2018), "התשואה במונחי שכר להשכלה הנרכשת באוניברסיטאות ובמכללות", סדרת מאמרים לדיון, חטיבת המחקר, בנק ישראל.</w:t>
      </w:r>
      <w:r>
        <w:rPr>
          <w:rFonts w:ascii="David" w:hAnsi="David" w:hint="cs"/>
          <w:rtl/>
        </w:rPr>
        <w:t xml:space="preserve"> </w:t>
      </w:r>
    </w:p>
    <w:p w:rsidR="003C3711" w:rsidRPr="002A1A94" w:rsidRDefault="00C457B8" w:rsidP="003C3711">
      <w:pPr>
        <w:pStyle w:val="ae"/>
        <w:jc w:val="both"/>
        <w:rPr>
          <w:rFonts w:ascii="David" w:hAnsi="David"/>
        </w:rPr>
      </w:pPr>
      <w:hyperlink r:id="rId2" w:history="1">
        <w:r w:rsidR="003C3711" w:rsidRPr="00E71584">
          <w:rPr>
            <w:rStyle w:val="Hyperlink"/>
            <w:rFonts w:ascii="David" w:hAnsi="David"/>
          </w:rPr>
          <w:t>https://www.boi.org.il/he/Research/Pages/dp201813h.aspx</w:t>
        </w:r>
      </w:hyperlink>
    </w:p>
  </w:footnote>
  <w:footnote w:id="3">
    <w:p w:rsidR="003C3711" w:rsidRPr="006151BA" w:rsidRDefault="003C3711" w:rsidP="003C3711">
      <w:pPr>
        <w:pStyle w:val="ae"/>
        <w:jc w:val="both"/>
        <w:rPr>
          <w:rFonts w:ascii="David" w:hAnsi="David"/>
        </w:rPr>
      </w:pPr>
      <w:r w:rsidRPr="006151BA">
        <w:rPr>
          <w:rStyle w:val="af0"/>
          <w:rFonts w:ascii="David" w:hAnsi="David"/>
        </w:rPr>
        <w:footnoteRef/>
      </w:r>
      <w:r w:rsidRPr="006151BA">
        <w:rPr>
          <w:rFonts w:ascii="David" w:hAnsi="David"/>
          <w:rtl/>
        </w:rPr>
        <w:t xml:space="preserve"> יש לציין כי בחלק מהמוסדות ותחומי הלימוד הקבלה אינה מותנית בבחינה פסיכומטרית</w:t>
      </w:r>
      <w:r>
        <w:rPr>
          <w:rFonts w:ascii="David" w:hAnsi="David" w:hint="cs"/>
          <w:rtl/>
        </w:rPr>
        <w:t>. במקרים אלה הציון הפסיכומטרי הממוצע אינו בהכרח מייצג את כלל המשתתפים בתוכנית.</w:t>
      </w:r>
      <w:r w:rsidRPr="006151BA">
        <w:rPr>
          <w:rFonts w:ascii="David" w:hAnsi="David"/>
          <w:rtl/>
        </w:rPr>
        <w:t xml:space="preserve"> </w:t>
      </w:r>
    </w:p>
  </w:footnote>
  <w:footnote w:id="4">
    <w:p w:rsidR="003C3711" w:rsidRPr="00442F5F" w:rsidRDefault="003C3711" w:rsidP="003C3711">
      <w:pPr>
        <w:pStyle w:val="ae"/>
        <w:jc w:val="both"/>
        <w:rPr>
          <w:rFonts w:ascii="David" w:hAnsi="David"/>
        </w:rPr>
      </w:pPr>
      <w:r w:rsidRPr="00442F5F">
        <w:rPr>
          <w:rStyle w:val="af0"/>
          <w:rFonts w:ascii="David" w:hAnsi="David"/>
        </w:rPr>
        <w:footnoteRef/>
      </w:r>
      <w:r w:rsidRPr="00442F5F">
        <w:rPr>
          <w:rFonts w:ascii="David" w:hAnsi="David"/>
          <w:rtl/>
        </w:rPr>
        <w:t xml:space="preserve"> יעל מזוז הרפז וזאב קריל (2017), "המקפצה להיי טק", סדרת מאמרים לדיון, אגף הכלכלן הראשי, משרד האוצר. </w:t>
      </w:r>
      <w:hyperlink r:id="rId3" w:history="1">
        <w:r w:rsidRPr="00442F5F">
          <w:rPr>
            <w:rStyle w:val="Hyperlink"/>
            <w:rFonts w:ascii="David" w:hAnsi="David"/>
          </w:rPr>
          <w:t>https://mof.gov.il/ChiefEcon/EconomyAndResearch/ArticlesSet/Article_10092017.pdf</w:t>
        </w:r>
      </w:hyperlink>
    </w:p>
  </w:footnote>
  <w:footnote w:id="5">
    <w:p w:rsidR="003C3711" w:rsidRPr="004A0C3F" w:rsidRDefault="003C3711" w:rsidP="003C3711">
      <w:pPr>
        <w:pStyle w:val="ae"/>
        <w:jc w:val="both"/>
        <w:rPr>
          <w:rFonts w:ascii="David" w:hAnsi="David"/>
          <w:rtl/>
        </w:rPr>
      </w:pPr>
      <w:r w:rsidRPr="004A0C3F">
        <w:rPr>
          <w:rStyle w:val="af0"/>
          <w:rFonts w:ascii="David" w:hAnsi="David"/>
        </w:rPr>
        <w:footnoteRef/>
      </w:r>
      <w:r w:rsidRPr="004A0C3F">
        <w:rPr>
          <w:rFonts w:ascii="David" w:hAnsi="David"/>
          <w:rtl/>
        </w:rPr>
        <w:t xml:space="preserve"> אסף גבע (2015), "על פערי השכר בין נשים לגברים", סדרת מאמרים לדיון, אגף הכלכלן הראשי, משרד האוצר. </w:t>
      </w:r>
      <w:hyperlink r:id="rId4" w:history="1">
        <w:r w:rsidRPr="004A0C3F">
          <w:rPr>
            <w:rStyle w:val="Hyperlink"/>
            <w:rFonts w:ascii="David" w:hAnsi="David"/>
          </w:rPr>
          <w:t>https://mof.gov.il/ChiefEcon/EconomyAndResearch/ArticlesSet/Article_20151019c.pdf</w:t>
        </w:r>
      </w:hyperlink>
    </w:p>
  </w:footnote>
  <w:footnote w:id="6">
    <w:p w:rsidR="003C3711" w:rsidRPr="00317E01" w:rsidRDefault="003C3711" w:rsidP="003C3711">
      <w:pPr>
        <w:pStyle w:val="ae"/>
        <w:jc w:val="both"/>
        <w:rPr>
          <w:rFonts w:ascii="David" w:hAnsi="David"/>
        </w:rPr>
      </w:pPr>
      <w:r w:rsidRPr="00317E01">
        <w:rPr>
          <w:rStyle w:val="af0"/>
          <w:rFonts w:ascii="David" w:hAnsi="David"/>
        </w:rPr>
        <w:footnoteRef/>
      </w:r>
      <w:r w:rsidRPr="00317E01">
        <w:rPr>
          <w:rFonts w:ascii="David" w:hAnsi="David"/>
          <w:rtl/>
        </w:rPr>
        <w:t xml:space="preserve"> יש לציין כי קיימת שונות מבחינת הגישה לקבלה ולנשירה בין מוסדות ומחלקות. כך למשל במחלקה מסוימת יכולים לקבוע רף קבלה גבוהה ועל ידי כך להשיג שיעורי נשירה נמוכים והמחלקה אחרת יכולים לנקוט בגישה אחרת לפיה תנאי הקבלה נמוכים והסינון נעשה במסגרת הלימודים באופן שמוביל לשיעורי נשירה גבוהים. כך, לא ניתן לפרש שיעוריי נשירה במוסד מסוים ככישלון של מוסד או תוכנית ולהפך.</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11" w:rsidRDefault="003C3711" w:rsidP="00484619">
    <w:pPr>
      <w:pStyle w:val="a8"/>
      <w:tabs>
        <w:tab w:val="clear" w:pos="8306"/>
      </w:tabs>
    </w:pPr>
    <w:r w:rsidRPr="00F1439E">
      <w:rPr>
        <w:noProof/>
        <w:rtl/>
      </w:rPr>
      <mc:AlternateContent>
        <mc:Choice Requires="wps">
          <w:drawing>
            <wp:anchor distT="0" distB="0" distL="114300" distR="114300" simplePos="0" relativeHeight="251660288" behindDoc="0" locked="0" layoutInCell="1" allowOverlap="1" wp14:anchorId="068EB627" wp14:editId="2BEEB808">
              <wp:simplePos x="0" y="0"/>
              <wp:positionH relativeFrom="page">
                <wp:posOffset>-215900</wp:posOffset>
              </wp:positionH>
              <wp:positionV relativeFrom="paragraph">
                <wp:posOffset>610870</wp:posOffset>
              </wp:positionV>
              <wp:extent cx="7778750" cy="82804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0" cy="828040"/>
                      </a:xfrm>
                      <a:prstGeom prst="rect">
                        <a:avLst/>
                      </a:prstGeom>
                      <a:noFill/>
                      <a:ln w="9525">
                        <a:noFill/>
                        <a:miter lim="800000"/>
                        <a:headEnd/>
                        <a:tailEnd/>
                      </a:ln>
                    </wps:spPr>
                    <wps:txbx>
                      <w:txbxContent>
                        <w:p w:rsidR="003C3711" w:rsidRPr="003C3711" w:rsidRDefault="003C3711" w:rsidP="003C3711">
                          <w:pPr>
                            <w:spacing w:line="240" w:lineRule="auto"/>
                            <w:jc w:val="left"/>
                            <w:rPr>
                              <w:b/>
                              <w:bCs/>
                              <w:color w:val="FFFFFF" w:themeColor="background1"/>
                              <w:sz w:val="38"/>
                              <w:szCs w:val="38"/>
                              <w:rtl/>
                            </w:rPr>
                          </w:pPr>
                          <w:r w:rsidRPr="003C3711">
                            <w:rPr>
                              <w:b/>
                              <w:bCs/>
                              <w:color w:val="FFFFFF" w:themeColor="background1"/>
                              <w:sz w:val="38"/>
                              <w:szCs w:val="38"/>
                              <w:rtl/>
                            </w:rPr>
                            <w:t>מסלול הלימודים במערכת ההשכלה הגבוהה והשפעתו על השכר ועל סיכויי הנשירה</w:t>
                          </w:r>
                        </w:p>
                        <w:p w:rsidR="003C3711" w:rsidRPr="003C3711" w:rsidRDefault="003C3711" w:rsidP="00EC05A4">
                          <w:pPr>
                            <w:spacing w:line="240" w:lineRule="auto"/>
                            <w:jc w:val="center"/>
                            <w:rPr>
                              <w:rtl/>
                            </w:rPr>
                          </w:pPr>
                          <w:r w:rsidRPr="003C3711">
                            <w:rPr>
                              <w:rFonts w:hint="cs"/>
                              <w:b/>
                              <w:bCs/>
                              <w:color w:val="FFFFFF" w:themeColor="background1"/>
                              <w:sz w:val="32"/>
                              <w:szCs w:val="32"/>
                              <w:rtl/>
                            </w:rPr>
                            <w:t>12 באוקטובר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EB627" id="_x0000_t202" coordsize="21600,21600" o:spt="202" path="m,l,21600r21600,l21600,xe">
              <v:stroke joinstyle="miter"/>
              <v:path gradientshapeok="t" o:connecttype="rect"/>
            </v:shapetype>
            <v:shape id="Text Box 2" o:spid="_x0000_s1026" type="#_x0000_t202" style="position:absolute;left:0;text-align:left;margin-left:-17pt;margin-top:48.1pt;width:612.5pt;height:6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" filled="f" stroked="f">
              <v:textbox>
                <w:txbxContent>
                  <w:p w:rsidR="003C3711" w:rsidRPr="003C3711" w:rsidRDefault="003C3711" w:rsidP="003C3711">
                    <w:pPr>
                      <w:spacing w:line="240" w:lineRule="auto"/>
                      <w:jc w:val="left"/>
                      <w:rPr>
                        <w:b/>
                        <w:bCs/>
                        <w:color w:val="FFFFFF" w:themeColor="background1"/>
                        <w:sz w:val="38"/>
                        <w:szCs w:val="38"/>
                        <w:rtl/>
                      </w:rPr>
                    </w:pPr>
                    <w:bookmarkStart w:id="1" w:name="_GoBack"/>
                    <w:r w:rsidRPr="003C3711">
                      <w:rPr>
                        <w:b/>
                        <w:bCs/>
                        <w:color w:val="FFFFFF" w:themeColor="background1"/>
                        <w:sz w:val="38"/>
                        <w:szCs w:val="38"/>
                        <w:rtl/>
                      </w:rPr>
                      <w:t>מסלול הלימודים במערכת ההשכלה הגבוהה והשפעתו על השכר ועל סיכויי הנשירה</w:t>
                    </w:r>
                  </w:p>
                  <w:p w:rsidR="003C3711" w:rsidRPr="003C3711" w:rsidRDefault="003C3711" w:rsidP="00EC05A4">
                    <w:pPr>
                      <w:spacing w:line="240" w:lineRule="auto"/>
                      <w:jc w:val="center"/>
                      <w:rPr>
                        <w:rtl/>
                      </w:rPr>
                    </w:pPr>
                    <w:r w:rsidRPr="003C3711">
                      <w:rPr>
                        <w:rFonts w:hint="cs"/>
                        <w:b/>
                        <w:bCs/>
                        <w:color w:val="FFFFFF" w:themeColor="background1"/>
                        <w:sz w:val="32"/>
                        <w:szCs w:val="32"/>
                        <w:rtl/>
                      </w:rPr>
                      <w:t>12 באוקטובר 2020</w:t>
                    </w:r>
                    <w:bookmarkEnd w:id="1"/>
                  </w:p>
                </w:txbxContent>
              </v:textbox>
              <w10:wrap anchorx="page"/>
            </v:shape>
          </w:pict>
        </mc:Fallback>
      </mc:AlternateContent>
    </w:r>
    <w:r w:rsidRPr="00F1439E">
      <w:rPr>
        <w:rFonts w:hint="cs"/>
        <w:noProof/>
        <w:rtl/>
      </w:rPr>
      <w:drawing>
        <wp:anchor distT="0" distB="0" distL="114300" distR="114300" simplePos="0" relativeHeight="251662336" behindDoc="0" locked="0" layoutInCell="1" allowOverlap="1" wp14:anchorId="0016D7C9" wp14:editId="0760FB70">
          <wp:simplePos x="0" y="0"/>
          <wp:positionH relativeFrom="column">
            <wp:posOffset>-998220</wp:posOffset>
          </wp:positionH>
          <wp:positionV relativeFrom="paragraph">
            <wp:posOffset>-113665</wp:posOffset>
          </wp:positionV>
          <wp:extent cx="1619250" cy="471170"/>
          <wp:effectExtent l="0" t="0" r="0" b="5080"/>
          <wp:wrapNone/>
          <wp:docPr id="2" name="תמונה 2" descr="לוגו משרד האוצ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7507.tmp"/>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1925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39E">
      <w:rPr>
        <w:rFonts w:hint="cs"/>
        <w:noProof/>
        <w:rtl/>
      </w:rPr>
      <w:drawing>
        <wp:anchor distT="0" distB="0" distL="114300" distR="114300" simplePos="0" relativeHeight="251663360" behindDoc="0" locked="0" layoutInCell="1" allowOverlap="1" wp14:anchorId="2E9A9AC2" wp14:editId="7C2FC5E8">
          <wp:simplePos x="0" y="0"/>
          <wp:positionH relativeFrom="column">
            <wp:posOffset>4788535</wp:posOffset>
          </wp:positionH>
          <wp:positionV relativeFrom="paragraph">
            <wp:posOffset>-138951</wp:posOffset>
          </wp:positionV>
          <wp:extent cx="1388745" cy="469900"/>
          <wp:effectExtent l="0" t="0" r="1905" b="6350"/>
          <wp:wrapNone/>
          <wp:docPr id="3" name="Picture 7" descr="\\netapp3\workgrps\Graphics\סקירה שבועית - הכלכלן הראשי\לוגו-כלכלן-עם-טקסט.png" title="לוגו כלכלן ראש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3\workgrps\Graphics\סקירה שבועית - הכלכלן הראשי\לוגו-כלכלן-עם-טקסט.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8745"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39E">
      <w:rPr>
        <w:rFonts w:hint="cs"/>
        <w:noProof/>
        <w:rtl/>
      </w:rPr>
      <w:drawing>
        <wp:anchor distT="0" distB="0" distL="114300" distR="114300" simplePos="0" relativeHeight="251659264" behindDoc="1" locked="1" layoutInCell="0" allowOverlap="1" wp14:anchorId="4FC83D35" wp14:editId="4FE0F1B2">
          <wp:simplePos x="0" y="0"/>
          <wp:positionH relativeFrom="column">
            <wp:posOffset>-1502410</wp:posOffset>
          </wp:positionH>
          <wp:positionV relativeFrom="page">
            <wp:posOffset>163195</wp:posOffset>
          </wp:positionV>
          <wp:extent cx="8669655" cy="12452985"/>
          <wp:effectExtent l="0" t="0" r="0" b="5715"/>
          <wp:wrapNone/>
          <wp:docPr id="5" name="Picture 2" title="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4.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9655" cy="1245298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207"/>
    <w:multiLevelType w:val="hybridMultilevel"/>
    <w:tmpl w:val="551433D4"/>
    <w:lvl w:ilvl="0" w:tplc="5372B54E">
      <w:start w:val="1"/>
      <w:numFmt w:val="bullet"/>
      <w:lvlText w:val=""/>
      <w:lvlJc w:val="left"/>
      <w:pPr>
        <w:ind w:left="360" w:hanging="360"/>
      </w:pPr>
      <w:rPr>
        <w:rFonts w:ascii="Symbol" w:hAnsi="Symbol" w:cs="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321DD1"/>
    <w:multiLevelType w:val="hybridMultilevel"/>
    <w:tmpl w:val="1778B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A01061"/>
    <w:multiLevelType w:val="hybridMultilevel"/>
    <w:tmpl w:val="95EADA88"/>
    <w:lvl w:ilvl="0" w:tplc="565A2BA4">
      <w:start w:val="1"/>
      <w:numFmt w:val="bullet"/>
      <w:lvlText w:val=""/>
      <w:lvlJc w:val="left"/>
      <w:pPr>
        <w:tabs>
          <w:tab w:val="num" w:pos="360"/>
        </w:tabs>
        <w:ind w:left="360" w:hanging="360"/>
      </w:pPr>
      <w:rPr>
        <w:rFonts w:ascii="Symbol" w:hAnsi="Symbol" w:hint="default"/>
        <w:lang w:bidi="he-IL"/>
      </w:rPr>
    </w:lvl>
    <w:lvl w:ilvl="1" w:tplc="04090001">
      <w:start w:val="1"/>
      <w:numFmt w:val="bullet"/>
      <w:lvlText w:val=""/>
      <w:lvlJc w:val="left"/>
      <w:pPr>
        <w:tabs>
          <w:tab w:val="num" w:pos="1080"/>
        </w:tabs>
        <w:ind w:left="1080" w:hanging="360"/>
      </w:pPr>
      <w:rPr>
        <w:rFonts w:ascii="Symbol" w:hAnsi="Symbol" w:hint="default"/>
        <w:lang w:bidi="he-IL"/>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B82797"/>
    <w:multiLevelType w:val="multilevel"/>
    <w:tmpl w:val="CB2CFB36"/>
    <w:numStyleLink w:val="-"/>
  </w:abstractNum>
  <w:abstractNum w:abstractNumId="4" w15:restartNumberingAfterBreak="0">
    <w:nsid w:val="11B87F5A"/>
    <w:multiLevelType w:val="multilevel"/>
    <w:tmpl w:val="2C7611E6"/>
    <w:styleLink w:val="-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5" w15:restartNumberingAfterBreak="0">
    <w:nsid w:val="12E20AED"/>
    <w:multiLevelType w:val="hybridMultilevel"/>
    <w:tmpl w:val="3774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40D29"/>
    <w:multiLevelType w:val="hybridMultilevel"/>
    <w:tmpl w:val="3972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17478"/>
    <w:multiLevelType w:val="hybridMultilevel"/>
    <w:tmpl w:val="E76E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A16B9"/>
    <w:multiLevelType w:val="hybridMultilevel"/>
    <w:tmpl w:val="0D748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9D35B4"/>
    <w:multiLevelType w:val="hybridMultilevel"/>
    <w:tmpl w:val="EAA69FA0"/>
    <w:lvl w:ilvl="0" w:tplc="5CB030CA">
      <w:start w:val="1"/>
      <w:numFmt w:val="bullet"/>
      <w:lvlText w:val=""/>
      <w:lvlJc w:val="left"/>
      <w:pPr>
        <w:ind w:left="360" w:hanging="360"/>
      </w:pPr>
      <w:rPr>
        <w:rFonts w:ascii="Wingdings" w:hAnsi="Wingdings" w:hint="default"/>
        <w:color w:val="3366FF"/>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1C1CC3"/>
    <w:multiLevelType w:val="hybridMultilevel"/>
    <w:tmpl w:val="5A968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690D37"/>
    <w:multiLevelType w:val="multilevel"/>
    <w:tmpl w:val="2C7611E6"/>
    <w:numStyleLink w:val="-0"/>
  </w:abstractNum>
  <w:abstractNum w:abstractNumId="12" w15:restartNumberingAfterBreak="0">
    <w:nsid w:val="2986381C"/>
    <w:multiLevelType w:val="hybridMultilevel"/>
    <w:tmpl w:val="CE808C8C"/>
    <w:lvl w:ilvl="0" w:tplc="DE0031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82AAE"/>
    <w:multiLevelType w:val="hybridMultilevel"/>
    <w:tmpl w:val="160631B4"/>
    <w:lvl w:ilvl="0" w:tplc="270A106E">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0487A"/>
    <w:multiLevelType w:val="hybridMultilevel"/>
    <w:tmpl w:val="7690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F3A8E"/>
    <w:multiLevelType w:val="hybridMultilevel"/>
    <w:tmpl w:val="CE9854F8"/>
    <w:lvl w:ilvl="0" w:tplc="26587F70">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B51C3"/>
    <w:multiLevelType w:val="hybridMultilevel"/>
    <w:tmpl w:val="F866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C2215"/>
    <w:multiLevelType w:val="hybridMultilevel"/>
    <w:tmpl w:val="91945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027C3C"/>
    <w:multiLevelType w:val="hybridMultilevel"/>
    <w:tmpl w:val="CD32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004AE"/>
    <w:multiLevelType w:val="hybridMultilevel"/>
    <w:tmpl w:val="7582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D4CEE"/>
    <w:multiLevelType w:val="multilevel"/>
    <w:tmpl w:val="2C7611E6"/>
    <w:numStyleLink w:val="-0"/>
  </w:abstractNum>
  <w:abstractNum w:abstractNumId="21" w15:restartNumberingAfterBreak="0">
    <w:nsid w:val="50825FAF"/>
    <w:multiLevelType w:val="hybridMultilevel"/>
    <w:tmpl w:val="4C2CB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5B3F4E"/>
    <w:multiLevelType w:val="hybridMultilevel"/>
    <w:tmpl w:val="C15C9D7E"/>
    <w:lvl w:ilvl="0" w:tplc="3A321B90">
      <w:start w:val="1"/>
      <w:numFmt w:val="bullet"/>
      <w:lvlText w:val=""/>
      <w:lvlJc w:val="left"/>
      <w:pPr>
        <w:tabs>
          <w:tab w:val="num" w:pos="360"/>
        </w:tabs>
        <w:ind w:left="360" w:hanging="360"/>
      </w:pPr>
      <w:rPr>
        <w:rFonts w:ascii="Symbol" w:hAnsi="Symbol" w:hint="default"/>
      </w:rPr>
    </w:lvl>
    <w:lvl w:ilvl="1" w:tplc="14BAAB8E">
      <w:start w:val="1"/>
      <w:numFmt w:val="decimal"/>
      <w:lvlText w:val="%2."/>
      <w:lvlJc w:val="left"/>
      <w:pPr>
        <w:tabs>
          <w:tab w:val="num" w:pos="1080"/>
        </w:tabs>
        <w:ind w:left="1080" w:hanging="360"/>
      </w:pPr>
      <w:rPr>
        <w:rFonts w:ascii="Times New Roman" w:eastAsia="Times New Roman" w:hAnsi="Times New Roman" w:cs="Times New Roman"/>
      </w:rPr>
    </w:lvl>
    <w:lvl w:ilvl="2" w:tplc="2C16C884">
      <w:start w:val="1"/>
      <w:numFmt w:val="hebrew1"/>
      <w:lvlText w:val="%3."/>
      <w:lvlJc w:val="left"/>
      <w:pPr>
        <w:tabs>
          <w:tab w:val="num" w:pos="1800"/>
        </w:tabs>
        <w:ind w:left="1800" w:hanging="360"/>
      </w:pPr>
      <w:rPr>
        <w:rFonts w:cs="Times New Roman" w:hint="default"/>
        <w:sz w:val="2"/>
        <w:szCs w:val="24"/>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C63965"/>
    <w:multiLevelType w:val="multilevel"/>
    <w:tmpl w:val="CB2CFB36"/>
    <w:numStyleLink w:val="-"/>
  </w:abstractNum>
  <w:abstractNum w:abstractNumId="24" w15:restartNumberingAfterBreak="0">
    <w:nsid w:val="56C3448F"/>
    <w:multiLevelType w:val="hybridMultilevel"/>
    <w:tmpl w:val="EDCA0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E55D40"/>
    <w:multiLevelType w:val="hybridMultilevel"/>
    <w:tmpl w:val="577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D00DD"/>
    <w:multiLevelType w:val="multilevel"/>
    <w:tmpl w:val="CB2CFB36"/>
    <w:styleLink w:val="-"/>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7" w15:restartNumberingAfterBreak="0">
    <w:nsid w:val="631573CD"/>
    <w:multiLevelType w:val="hybridMultilevel"/>
    <w:tmpl w:val="AD94AE98"/>
    <w:lvl w:ilvl="0" w:tplc="04090001">
      <w:start w:val="1"/>
      <w:numFmt w:val="bullet"/>
      <w:lvlText w:val=""/>
      <w:lvlJc w:val="left"/>
      <w:pPr>
        <w:ind w:left="4920" w:hanging="360"/>
      </w:pPr>
      <w:rPr>
        <w:rFonts w:ascii="Symbol" w:hAnsi="Symbol" w:hint="default"/>
      </w:rPr>
    </w:lvl>
    <w:lvl w:ilvl="1" w:tplc="04090003" w:tentative="1">
      <w:start w:val="1"/>
      <w:numFmt w:val="bullet"/>
      <w:lvlText w:val="o"/>
      <w:lvlJc w:val="left"/>
      <w:pPr>
        <w:ind w:left="5640" w:hanging="360"/>
      </w:pPr>
      <w:rPr>
        <w:rFonts w:ascii="Courier New" w:hAnsi="Courier New" w:cs="Courier New" w:hint="default"/>
      </w:rPr>
    </w:lvl>
    <w:lvl w:ilvl="2" w:tplc="04090005" w:tentative="1">
      <w:start w:val="1"/>
      <w:numFmt w:val="bullet"/>
      <w:lvlText w:val=""/>
      <w:lvlJc w:val="left"/>
      <w:pPr>
        <w:ind w:left="6360" w:hanging="360"/>
      </w:pPr>
      <w:rPr>
        <w:rFonts w:ascii="Wingdings" w:hAnsi="Wingdings" w:hint="default"/>
      </w:rPr>
    </w:lvl>
    <w:lvl w:ilvl="3" w:tplc="04090001" w:tentative="1">
      <w:start w:val="1"/>
      <w:numFmt w:val="bullet"/>
      <w:lvlText w:val=""/>
      <w:lvlJc w:val="left"/>
      <w:pPr>
        <w:ind w:left="7080" w:hanging="360"/>
      </w:pPr>
      <w:rPr>
        <w:rFonts w:ascii="Symbol" w:hAnsi="Symbol" w:hint="default"/>
      </w:rPr>
    </w:lvl>
    <w:lvl w:ilvl="4" w:tplc="04090003" w:tentative="1">
      <w:start w:val="1"/>
      <w:numFmt w:val="bullet"/>
      <w:lvlText w:val="o"/>
      <w:lvlJc w:val="left"/>
      <w:pPr>
        <w:ind w:left="7800" w:hanging="360"/>
      </w:pPr>
      <w:rPr>
        <w:rFonts w:ascii="Courier New" w:hAnsi="Courier New" w:cs="Courier New" w:hint="default"/>
      </w:rPr>
    </w:lvl>
    <w:lvl w:ilvl="5" w:tplc="04090005" w:tentative="1">
      <w:start w:val="1"/>
      <w:numFmt w:val="bullet"/>
      <w:lvlText w:val=""/>
      <w:lvlJc w:val="left"/>
      <w:pPr>
        <w:ind w:left="8520" w:hanging="360"/>
      </w:pPr>
      <w:rPr>
        <w:rFonts w:ascii="Wingdings" w:hAnsi="Wingdings" w:hint="default"/>
      </w:rPr>
    </w:lvl>
    <w:lvl w:ilvl="6" w:tplc="04090001" w:tentative="1">
      <w:start w:val="1"/>
      <w:numFmt w:val="bullet"/>
      <w:lvlText w:val=""/>
      <w:lvlJc w:val="left"/>
      <w:pPr>
        <w:ind w:left="9240" w:hanging="360"/>
      </w:pPr>
      <w:rPr>
        <w:rFonts w:ascii="Symbol" w:hAnsi="Symbol" w:hint="default"/>
      </w:rPr>
    </w:lvl>
    <w:lvl w:ilvl="7" w:tplc="04090003" w:tentative="1">
      <w:start w:val="1"/>
      <w:numFmt w:val="bullet"/>
      <w:lvlText w:val="o"/>
      <w:lvlJc w:val="left"/>
      <w:pPr>
        <w:ind w:left="9960" w:hanging="360"/>
      </w:pPr>
      <w:rPr>
        <w:rFonts w:ascii="Courier New" w:hAnsi="Courier New" w:cs="Courier New" w:hint="default"/>
      </w:rPr>
    </w:lvl>
    <w:lvl w:ilvl="8" w:tplc="04090005" w:tentative="1">
      <w:start w:val="1"/>
      <w:numFmt w:val="bullet"/>
      <w:lvlText w:val=""/>
      <w:lvlJc w:val="left"/>
      <w:pPr>
        <w:ind w:left="10680" w:hanging="360"/>
      </w:pPr>
      <w:rPr>
        <w:rFonts w:ascii="Wingdings" w:hAnsi="Wingdings" w:hint="default"/>
      </w:rPr>
    </w:lvl>
  </w:abstractNum>
  <w:abstractNum w:abstractNumId="28" w15:restartNumberingAfterBreak="0">
    <w:nsid w:val="64060B20"/>
    <w:multiLevelType w:val="hybridMultilevel"/>
    <w:tmpl w:val="01B00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7B7BD4"/>
    <w:multiLevelType w:val="hybridMultilevel"/>
    <w:tmpl w:val="AB42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A02290"/>
    <w:multiLevelType w:val="hybridMultilevel"/>
    <w:tmpl w:val="3A60E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095E70"/>
    <w:multiLevelType w:val="hybridMultilevel"/>
    <w:tmpl w:val="39C6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E7D90"/>
    <w:multiLevelType w:val="hybridMultilevel"/>
    <w:tmpl w:val="9008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556F7E"/>
    <w:multiLevelType w:val="hybridMultilevel"/>
    <w:tmpl w:val="E3F0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0B2048"/>
    <w:multiLevelType w:val="hybridMultilevel"/>
    <w:tmpl w:val="3A227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247134"/>
    <w:multiLevelType w:val="hybridMultilevel"/>
    <w:tmpl w:val="26F63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62164F"/>
    <w:multiLevelType w:val="hybridMultilevel"/>
    <w:tmpl w:val="E4E60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6"/>
  </w:num>
  <w:num w:numId="3">
    <w:abstractNumId w:val="4"/>
  </w:num>
  <w:num w:numId="4">
    <w:abstractNumId w:val="6"/>
  </w:num>
  <w:num w:numId="5">
    <w:abstractNumId w:val="3"/>
  </w:num>
  <w:num w:numId="6">
    <w:abstractNumId w:val="20"/>
  </w:num>
  <w:num w:numId="7">
    <w:abstractNumId w:val="23"/>
  </w:num>
  <w:num w:numId="8">
    <w:abstractNumId w:val="9"/>
  </w:num>
  <w:num w:numId="9">
    <w:abstractNumId w:val="32"/>
  </w:num>
  <w:num w:numId="10">
    <w:abstractNumId w:val="15"/>
  </w:num>
  <w:num w:numId="11">
    <w:abstractNumId w:val="22"/>
  </w:num>
  <w:num w:numId="12">
    <w:abstractNumId w:val="1"/>
  </w:num>
  <w:num w:numId="13">
    <w:abstractNumId w:val="2"/>
  </w:num>
  <w:num w:numId="14">
    <w:abstractNumId w:val="0"/>
  </w:num>
  <w:num w:numId="15">
    <w:abstractNumId w:val="25"/>
  </w:num>
  <w:num w:numId="16">
    <w:abstractNumId w:val="13"/>
  </w:num>
  <w:num w:numId="17">
    <w:abstractNumId w:val="18"/>
  </w:num>
  <w:num w:numId="18">
    <w:abstractNumId w:val="28"/>
  </w:num>
  <w:num w:numId="19">
    <w:abstractNumId w:val="0"/>
  </w:num>
  <w:num w:numId="20">
    <w:abstractNumId w:val="27"/>
  </w:num>
  <w:num w:numId="21">
    <w:abstractNumId w:val="33"/>
  </w:num>
  <w:num w:numId="22">
    <w:abstractNumId w:val="29"/>
  </w:num>
  <w:num w:numId="23">
    <w:abstractNumId w:val="5"/>
  </w:num>
  <w:num w:numId="24">
    <w:abstractNumId w:val="17"/>
  </w:num>
  <w:num w:numId="25">
    <w:abstractNumId w:val="36"/>
  </w:num>
  <w:num w:numId="26">
    <w:abstractNumId w:val="35"/>
  </w:num>
  <w:num w:numId="27">
    <w:abstractNumId w:val="16"/>
  </w:num>
  <w:num w:numId="28">
    <w:abstractNumId w:val="14"/>
  </w:num>
  <w:num w:numId="29">
    <w:abstractNumId w:val="8"/>
  </w:num>
  <w:num w:numId="30">
    <w:abstractNumId w:val="31"/>
  </w:num>
  <w:num w:numId="31">
    <w:abstractNumId w:val="7"/>
  </w:num>
  <w:num w:numId="32">
    <w:abstractNumId w:val="12"/>
  </w:num>
  <w:num w:numId="33">
    <w:abstractNumId w:val="34"/>
  </w:num>
  <w:num w:numId="34">
    <w:abstractNumId w:val="19"/>
  </w:num>
  <w:num w:numId="35">
    <w:abstractNumId w:val="10"/>
  </w:num>
  <w:num w:numId="36">
    <w:abstractNumId w:val="21"/>
  </w:num>
  <w:num w:numId="37">
    <w:abstractNumId w:val="3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74"/>
    <w:rsid w:val="0000015A"/>
    <w:rsid w:val="00000F41"/>
    <w:rsid w:val="0000171C"/>
    <w:rsid w:val="00002294"/>
    <w:rsid w:val="00002C2C"/>
    <w:rsid w:val="00002D2E"/>
    <w:rsid w:val="0000318D"/>
    <w:rsid w:val="00004498"/>
    <w:rsid w:val="000052E8"/>
    <w:rsid w:val="00005351"/>
    <w:rsid w:val="0000566C"/>
    <w:rsid w:val="000066A5"/>
    <w:rsid w:val="000078E4"/>
    <w:rsid w:val="00007967"/>
    <w:rsid w:val="00007E8F"/>
    <w:rsid w:val="000101AF"/>
    <w:rsid w:val="00010F9F"/>
    <w:rsid w:val="00011035"/>
    <w:rsid w:val="00011055"/>
    <w:rsid w:val="00012345"/>
    <w:rsid w:val="00012ABB"/>
    <w:rsid w:val="000130B2"/>
    <w:rsid w:val="00013220"/>
    <w:rsid w:val="000136CF"/>
    <w:rsid w:val="00014182"/>
    <w:rsid w:val="000145BC"/>
    <w:rsid w:val="00015A09"/>
    <w:rsid w:val="00015D45"/>
    <w:rsid w:val="000163D4"/>
    <w:rsid w:val="0001659F"/>
    <w:rsid w:val="00016C2C"/>
    <w:rsid w:val="00017661"/>
    <w:rsid w:val="00017E19"/>
    <w:rsid w:val="0002145F"/>
    <w:rsid w:val="000222E2"/>
    <w:rsid w:val="00022715"/>
    <w:rsid w:val="00024434"/>
    <w:rsid w:val="00024D40"/>
    <w:rsid w:val="00024ECD"/>
    <w:rsid w:val="0002534B"/>
    <w:rsid w:val="00025422"/>
    <w:rsid w:val="00026067"/>
    <w:rsid w:val="00026787"/>
    <w:rsid w:val="000269DC"/>
    <w:rsid w:val="00026B1D"/>
    <w:rsid w:val="00026C4F"/>
    <w:rsid w:val="00027329"/>
    <w:rsid w:val="00027BB9"/>
    <w:rsid w:val="00027F2E"/>
    <w:rsid w:val="0003012B"/>
    <w:rsid w:val="00030963"/>
    <w:rsid w:val="00030DD9"/>
    <w:rsid w:val="00030E4A"/>
    <w:rsid w:val="00031180"/>
    <w:rsid w:val="000315DC"/>
    <w:rsid w:val="00031915"/>
    <w:rsid w:val="00031D2F"/>
    <w:rsid w:val="00032ABC"/>
    <w:rsid w:val="00033230"/>
    <w:rsid w:val="00033668"/>
    <w:rsid w:val="00033BA0"/>
    <w:rsid w:val="000341D6"/>
    <w:rsid w:val="0003434C"/>
    <w:rsid w:val="00034440"/>
    <w:rsid w:val="00034926"/>
    <w:rsid w:val="00035111"/>
    <w:rsid w:val="00035D39"/>
    <w:rsid w:val="00036108"/>
    <w:rsid w:val="00036829"/>
    <w:rsid w:val="00037109"/>
    <w:rsid w:val="00037155"/>
    <w:rsid w:val="00037361"/>
    <w:rsid w:val="000378A2"/>
    <w:rsid w:val="00037C07"/>
    <w:rsid w:val="0004074E"/>
    <w:rsid w:val="00040CC5"/>
    <w:rsid w:val="00040E7E"/>
    <w:rsid w:val="0004116D"/>
    <w:rsid w:val="000411C3"/>
    <w:rsid w:val="000412B2"/>
    <w:rsid w:val="00041BB8"/>
    <w:rsid w:val="000420C5"/>
    <w:rsid w:val="00043476"/>
    <w:rsid w:val="0004376B"/>
    <w:rsid w:val="00043953"/>
    <w:rsid w:val="000454F0"/>
    <w:rsid w:val="0004627C"/>
    <w:rsid w:val="00046656"/>
    <w:rsid w:val="00047639"/>
    <w:rsid w:val="00047C97"/>
    <w:rsid w:val="00050188"/>
    <w:rsid w:val="00050C4C"/>
    <w:rsid w:val="000520B7"/>
    <w:rsid w:val="00052766"/>
    <w:rsid w:val="00052896"/>
    <w:rsid w:val="000528B0"/>
    <w:rsid w:val="00052A3D"/>
    <w:rsid w:val="00052D0C"/>
    <w:rsid w:val="00052E11"/>
    <w:rsid w:val="00053181"/>
    <w:rsid w:val="000531E0"/>
    <w:rsid w:val="000534BF"/>
    <w:rsid w:val="000537DD"/>
    <w:rsid w:val="00053CCF"/>
    <w:rsid w:val="0005471E"/>
    <w:rsid w:val="00055019"/>
    <w:rsid w:val="00055765"/>
    <w:rsid w:val="00055B82"/>
    <w:rsid w:val="000568CE"/>
    <w:rsid w:val="00056B09"/>
    <w:rsid w:val="000574B1"/>
    <w:rsid w:val="0006038F"/>
    <w:rsid w:val="000605C5"/>
    <w:rsid w:val="000608B3"/>
    <w:rsid w:val="0006224F"/>
    <w:rsid w:val="00062771"/>
    <w:rsid w:val="00063959"/>
    <w:rsid w:val="00063CB7"/>
    <w:rsid w:val="00063F28"/>
    <w:rsid w:val="0006451B"/>
    <w:rsid w:val="00064D46"/>
    <w:rsid w:val="00065FB9"/>
    <w:rsid w:val="00066383"/>
    <w:rsid w:val="00066B1A"/>
    <w:rsid w:val="0007000A"/>
    <w:rsid w:val="00070080"/>
    <w:rsid w:val="00070C0E"/>
    <w:rsid w:val="00073741"/>
    <w:rsid w:val="000748B8"/>
    <w:rsid w:val="00074BFA"/>
    <w:rsid w:val="00076313"/>
    <w:rsid w:val="00076584"/>
    <w:rsid w:val="00080670"/>
    <w:rsid w:val="000815F5"/>
    <w:rsid w:val="00081D8D"/>
    <w:rsid w:val="00082130"/>
    <w:rsid w:val="0008250C"/>
    <w:rsid w:val="000835DF"/>
    <w:rsid w:val="00083A0B"/>
    <w:rsid w:val="00084F53"/>
    <w:rsid w:val="00085A92"/>
    <w:rsid w:val="0008691E"/>
    <w:rsid w:val="00086FE3"/>
    <w:rsid w:val="00087658"/>
    <w:rsid w:val="00092284"/>
    <w:rsid w:val="000926C9"/>
    <w:rsid w:val="0009338E"/>
    <w:rsid w:val="00093B9D"/>
    <w:rsid w:val="00093CA1"/>
    <w:rsid w:val="00093CA7"/>
    <w:rsid w:val="00094596"/>
    <w:rsid w:val="00095829"/>
    <w:rsid w:val="000963D1"/>
    <w:rsid w:val="00096B58"/>
    <w:rsid w:val="00096BC3"/>
    <w:rsid w:val="00096F27"/>
    <w:rsid w:val="00096F85"/>
    <w:rsid w:val="00097550"/>
    <w:rsid w:val="000A025F"/>
    <w:rsid w:val="000A049A"/>
    <w:rsid w:val="000A20E0"/>
    <w:rsid w:val="000A23DC"/>
    <w:rsid w:val="000A26B7"/>
    <w:rsid w:val="000A3279"/>
    <w:rsid w:val="000A3836"/>
    <w:rsid w:val="000A5A40"/>
    <w:rsid w:val="000A6057"/>
    <w:rsid w:val="000A61AC"/>
    <w:rsid w:val="000A67EA"/>
    <w:rsid w:val="000A6FA3"/>
    <w:rsid w:val="000A7A53"/>
    <w:rsid w:val="000B00A6"/>
    <w:rsid w:val="000B00DD"/>
    <w:rsid w:val="000B02D2"/>
    <w:rsid w:val="000B030B"/>
    <w:rsid w:val="000B0639"/>
    <w:rsid w:val="000B2CCC"/>
    <w:rsid w:val="000B36C6"/>
    <w:rsid w:val="000B3D8D"/>
    <w:rsid w:val="000B6FD8"/>
    <w:rsid w:val="000B7124"/>
    <w:rsid w:val="000B72B0"/>
    <w:rsid w:val="000B75E3"/>
    <w:rsid w:val="000B7DA2"/>
    <w:rsid w:val="000C04AE"/>
    <w:rsid w:val="000C2353"/>
    <w:rsid w:val="000C2E6B"/>
    <w:rsid w:val="000C3F53"/>
    <w:rsid w:val="000C3F6E"/>
    <w:rsid w:val="000C44EA"/>
    <w:rsid w:val="000C473D"/>
    <w:rsid w:val="000C4781"/>
    <w:rsid w:val="000C5135"/>
    <w:rsid w:val="000C794C"/>
    <w:rsid w:val="000D01D5"/>
    <w:rsid w:val="000D06CB"/>
    <w:rsid w:val="000D0D78"/>
    <w:rsid w:val="000D13D6"/>
    <w:rsid w:val="000D14CD"/>
    <w:rsid w:val="000D2201"/>
    <w:rsid w:val="000D3088"/>
    <w:rsid w:val="000D4A38"/>
    <w:rsid w:val="000D630F"/>
    <w:rsid w:val="000D6C2D"/>
    <w:rsid w:val="000D7BBE"/>
    <w:rsid w:val="000D7E2A"/>
    <w:rsid w:val="000E0407"/>
    <w:rsid w:val="000E042F"/>
    <w:rsid w:val="000E0A87"/>
    <w:rsid w:val="000E0DBA"/>
    <w:rsid w:val="000E103D"/>
    <w:rsid w:val="000E1113"/>
    <w:rsid w:val="000E11ED"/>
    <w:rsid w:val="000E1333"/>
    <w:rsid w:val="000E3698"/>
    <w:rsid w:val="000E4A4A"/>
    <w:rsid w:val="000E4D04"/>
    <w:rsid w:val="000E5080"/>
    <w:rsid w:val="000E55D8"/>
    <w:rsid w:val="000E5E1E"/>
    <w:rsid w:val="000E6098"/>
    <w:rsid w:val="000E632C"/>
    <w:rsid w:val="000E7902"/>
    <w:rsid w:val="000F1CA9"/>
    <w:rsid w:val="000F26F5"/>
    <w:rsid w:val="000F2979"/>
    <w:rsid w:val="000F2BCD"/>
    <w:rsid w:val="000F2E5B"/>
    <w:rsid w:val="000F3494"/>
    <w:rsid w:val="000F49D2"/>
    <w:rsid w:val="000F4D67"/>
    <w:rsid w:val="000F71C2"/>
    <w:rsid w:val="000F7275"/>
    <w:rsid w:val="00100759"/>
    <w:rsid w:val="00100AE0"/>
    <w:rsid w:val="00101053"/>
    <w:rsid w:val="001019D8"/>
    <w:rsid w:val="0010326C"/>
    <w:rsid w:val="00103470"/>
    <w:rsid w:val="00103994"/>
    <w:rsid w:val="00103A9C"/>
    <w:rsid w:val="00104117"/>
    <w:rsid w:val="00104443"/>
    <w:rsid w:val="0010480D"/>
    <w:rsid w:val="00104B79"/>
    <w:rsid w:val="00105565"/>
    <w:rsid w:val="00105980"/>
    <w:rsid w:val="00107372"/>
    <w:rsid w:val="00110751"/>
    <w:rsid w:val="0011114F"/>
    <w:rsid w:val="00111150"/>
    <w:rsid w:val="00111F11"/>
    <w:rsid w:val="00113226"/>
    <w:rsid w:val="001132CA"/>
    <w:rsid w:val="001133E5"/>
    <w:rsid w:val="0011342B"/>
    <w:rsid w:val="00113746"/>
    <w:rsid w:val="00113C67"/>
    <w:rsid w:val="00113D59"/>
    <w:rsid w:val="0011413B"/>
    <w:rsid w:val="0011459F"/>
    <w:rsid w:val="001159FE"/>
    <w:rsid w:val="00115E7C"/>
    <w:rsid w:val="0011646B"/>
    <w:rsid w:val="00120241"/>
    <w:rsid w:val="0012176C"/>
    <w:rsid w:val="001218F4"/>
    <w:rsid w:val="00121E87"/>
    <w:rsid w:val="001222CF"/>
    <w:rsid w:val="0012276A"/>
    <w:rsid w:val="00122D3F"/>
    <w:rsid w:val="0012428B"/>
    <w:rsid w:val="001248D1"/>
    <w:rsid w:val="00124922"/>
    <w:rsid w:val="00126073"/>
    <w:rsid w:val="00127120"/>
    <w:rsid w:val="00127364"/>
    <w:rsid w:val="00127838"/>
    <w:rsid w:val="001311C4"/>
    <w:rsid w:val="0013170D"/>
    <w:rsid w:val="00132EF6"/>
    <w:rsid w:val="00132F54"/>
    <w:rsid w:val="00133708"/>
    <w:rsid w:val="00133C9A"/>
    <w:rsid w:val="00134005"/>
    <w:rsid w:val="00134E67"/>
    <w:rsid w:val="0013519D"/>
    <w:rsid w:val="00136A48"/>
    <w:rsid w:val="001379A4"/>
    <w:rsid w:val="00137C68"/>
    <w:rsid w:val="0014076E"/>
    <w:rsid w:val="00141157"/>
    <w:rsid w:val="00141773"/>
    <w:rsid w:val="001426D2"/>
    <w:rsid w:val="00143382"/>
    <w:rsid w:val="00143D04"/>
    <w:rsid w:val="00145022"/>
    <w:rsid w:val="0014552E"/>
    <w:rsid w:val="001467C4"/>
    <w:rsid w:val="0014681A"/>
    <w:rsid w:val="00146909"/>
    <w:rsid w:val="00146CE2"/>
    <w:rsid w:val="00146FEF"/>
    <w:rsid w:val="00147F4A"/>
    <w:rsid w:val="001522F8"/>
    <w:rsid w:val="0015423F"/>
    <w:rsid w:val="00154542"/>
    <w:rsid w:val="001549F0"/>
    <w:rsid w:val="0015567B"/>
    <w:rsid w:val="0015659B"/>
    <w:rsid w:val="001566B8"/>
    <w:rsid w:val="001567D1"/>
    <w:rsid w:val="00157A27"/>
    <w:rsid w:val="001601DA"/>
    <w:rsid w:val="00160238"/>
    <w:rsid w:val="001606A2"/>
    <w:rsid w:val="00161053"/>
    <w:rsid w:val="001611C6"/>
    <w:rsid w:val="001612C4"/>
    <w:rsid w:val="00161D19"/>
    <w:rsid w:val="00162C8A"/>
    <w:rsid w:val="00163624"/>
    <w:rsid w:val="00163756"/>
    <w:rsid w:val="0016415A"/>
    <w:rsid w:val="001645E9"/>
    <w:rsid w:val="00164863"/>
    <w:rsid w:val="00164B30"/>
    <w:rsid w:val="00165B88"/>
    <w:rsid w:val="00165C28"/>
    <w:rsid w:val="00166D3F"/>
    <w:rsid w:val="001671A4"/>
    <w:rsid w:val="00167777"/>
    <w:rsid w:val="00167CE8"/>
    <w:rsid w:val="0017026A"/>
    <w:rsid w:val="00170AF7"/>
    <w:rsid w:val="001718A1"/>
    <w:rsid w:val="00171986"/>
    <w:rsid w:val="0017314C"/>
    <w:rsid w:val="00173A6F"/>
    <w:rsid w:val="00173B05"/>
    <w:rsid w:val="00173E54"/>
    <w:rsid w:val="001743DA"/>
    <w:rsid w:val="00174547"/>
    <w:rsid w:val="00176B52"/>
    <w:rsid w:val="00176F34"/>
    <w:rsid w:val="00177C53"/>
    <w:rsid w:val="00180ED9"/>
    <w:rsid w:val="00182485"/>
    <w:rsid w:val="0018292D"/>
    <w:rsid w:val="00182CA2"/>
    <w:rsid w:val="001831FA"/>
    <w:rsid w:val="001832AD"/>
    <w:rsid w:val="0018330F"/>
    <w:rsid w:val="00183781"/>
    <w:rsid w:val="00183805"/>
    <w:rsid w:val="00183DC2"/>
    <w:rsid w:val="0018462B"/>
    <w:rsid w:val="0018532F"/>
    <w:rsid w:val="00185761"/>
    <w:rsid w:val="00185BBA"/>
    <w:rsid w:val="001861E3"/>
    <w:rsid w:val="001862AB"/>
    <w:rsid w:val="001865C0"/>
    <w:rsid w:val="00187058"/>
    <w:rsid w:val="00187CB9"/>
    <w:rsid w:val="00190A0F"/>
    <w:rsid w:val="00190A49"/>
    <w:rsid w:val="0019228E"/>
    <w:rsid w:val="001924CF"/>
    <w:rsid w:val="0019295B"/>
    <w:rsid w:val="0019343D"/>
    <w:rsid w:val="0019464A"/>
    <w:rsid w:val="001946CF"/>
    <w:rsid w:val="001946ED"/>
    <w:rsid w:val="001950DF"/>
    <w:rsid w:val="001957CF"/>
    <w:rsid w:val="001957F8"/>
    <w:rsid w:val="00195E08"/>
    <w:rsid w:val="00196174"/>
    <w:rsid w:val="001964B6"/>
    <w:rsid w:val="001968FF"/>
    <w:rsid w:val="00197A5F"/>
    <w:rsid w:val="001A07AF"/>
    <w:rsid w:val="001A0CEF"/>
    <w:rsid w:val="001A0F39"/>
    <w:rsid w:val="001A1005"/>
    <w:rsid w:val="001A4090"/>
    <w:rsid w:val="001A5381"/>
    <w:rsid w:val="001A5E35"/>
    <w:rsid w:val="001A6434"/>
    <w:rsid w:val="001A6F6E"/>
    <w:rsid w:val="001A7B31"/>
    <w:rsid w:val="001A7C42"/>
    <w:rsid w:val="001A7D48"/>
    <w:rsid w:val="001B16F2"/>
    <w:rsid w:val="001B174F"/>
    <w:rsid w:val="001B1946"/>
    <w:rsid w:val="001B2DD6"/>
    <w:rsid w:val="001B33F9"/>
    <w:rsid w:val="001B348F"/>
    <w:rsid w:val="001B5319"/>
    <w:rsid w:val="001B650C"/>
    <w:rsid w:val="001B686F"/>
    <w:rsid w:val="001B7341"/>
    <w:rsid w:val="001C008A"/>
    <w:rsid w:val="001C0556"/>
    <w:rsid w:val="001C0788"/>
    <w:rsid w:val="001C0826"/>
    <w:rsid w:val="001C1631"/>
    <w:rsid w:val="001C16B4"/>
    <w:rsid w:val="001C26BC"/>
    <w:rsid w:val="001C3E9C"/>
    <w:rsid w:val="001C4BEC"/>
    <w:rsid w:val="001C4F6D"/>
    <w:rsid w:val="001C57EA"/>
    <w:rsid w:val="001C5F96"/>
    <w:rsid w:val="001C60ED"/>
    <w:rsid w:val="001C6B62"/>
    <w:rsid w:val="001C78EA"/>
    <w:rsid w:val="001C79E3"/>
    <w:rsid w:val="001D0774"/>
    <w:rsid w:val="001D0FE9"/>
    <w:rsid w:val="001D1202"/>
    <w:rsid w:val="001D1802"/>
    <w:rsid w:val="001D203E"/>
    <w:rsid w:val="001D239D"/>
    <w:rsid w:val="001D2449"/>
    <w:rsid w:val="001D2B19"/>
    <w:rsid w:val="001D386A"/>
    <w:rsid w:val="001D3AEC"/>
    <w:rsid w:val="001D442A"/>
    <w:rsid w:val="001D4587"/>
    <w:rsid w:val="001D473C"/>
    <w:rsid w:val="001D4BA6"/>
    <w:rsid w:val="001D55DD"/>
    <w:rsid w:val="001D62F5"/>
    <w:rsid w:val="001D71C7"/>
    <w:rsid w:val="001E010C"/>
    <w:rsid w:val="001E0593"/>
    <w:rsid w:val="001E0A3F"/>
    <w:rsid w:val="001E11C8"/>
    <w:rsid w:val="001E12FE"/>
    <w:rsid w:val="001E1321"/>
    <w:rsid w:val="001E13C6"/>
    <w:rsid w:val="001E1E4D"/>
    <w:rsid w:val="001E2863"/>
    <w:rsid w:val="001E42D7"/>
    <w:rsid w:val="001E4566"/>
    <w:rsid w:val="001E548A"/>
    <w:rsid w:val="001E5715"/>
    <w:rsid w:val="001E74B4"/>
    <w:rsid w:val="001E7FD8"/>
    <w:rsid w:val="001F07A7"/>
    <w:rsid w:val="001F0A2E"/>
    <w:rsid w:val="001F1314"/>
    <w:rsid w:val="001F1479"/>
    <w:rsid w:val="001F1546"/>
    <w:rsid w:val="001F16CA"/>
    <w:rsid w:val="001F197C"/>
    <w:rsid w:val="001F1B63"/>
    <w:rsid w:val="001F228F"/>
    <w:rsid w:val="001F4304"/>
    <w:rsid w:val="001F430C"/>
    <w:rsid w:val="001F4594"/>
    <w:rsid w:val="001F519A"/>
    <w:rsid w:val="001F5EB9"/>
    <w:rsid w:val="001F66D1"/>
    <w:rsid w:val="001F733C"/>
    <w:rsid w:val="001F796C"/>
    <w:rsid w:val="001F7AED"/>
    <w:rsid w:val="001F7BF1"/>
    <w:rsid w:val="001F7DCA"/>
    <w:rsid w:val="001F7F20"/>
    <w:rsid w:val="002007CD"/>
    <w:rsid w:val="00200FE4"/>
    <w:rsid w:val="00201BAE"/>
    <w:rsid w:val="00201C61"/>
    <w:rsid w:val="0020528C"/>
    <w:rsid w:val="00206C07"/>
    <w:rsid w:val="00206E47"/>
    <w:rsid w:val="00207CA3"/>
    <w:rsid w:val="00207FD7"/>
    <w:rsid w:val="00210F2A"/>
    <w:rsid w:val="002111D7"/>
    <w:rsid w:val="00211419"/>
    <w:rsid w:val="002114E6"/>
    <w:rsid w:val="00211605"/>
    <w:rsid w:val="0021206D"/>
    <w:rsid w:val="002131CF"/>
    <w:rsid w:val="002135D7"/>
    <w:rsid w:val="00213D1B"/>
    <w:rsid w:val="00213F44"/>
    <w:rsid w:val="00214002"/>
    <w:rsid w:val="00214AE7"/>
    <w:rsid w:val="00214D73"/>
    <w:rsid w:val="00214FC4"/>
    <w:rsid w:val="00215835"/>
    <w:rsid w:val="00215DB0"/>
    <w:rsid w:val="00216951"/>
    <w:rsid w:val="00217CD0"/>
    <w:rsid w:val="00220192"/>
    <w:rsid w:val="002202B0"/>
    <w:rsid w:val="00220C8C"/>
    <w:rsid w:val="002210FC"/>
    <w:rsid w:val="00222972"/>
    <w:rsid w:val="002229E1"/>
    <w:rsid w:val="00224A28"/>
    <w:rsid w:val="00224B50"/>
    <w:rsid w:val="00224F86"/>
    <w:rsid w:val="00225144"/>
    <w:rsid w:val="00225492"/>
    <w:rsid w:val="002254A5"/>
    <w:rsid w:val="00225A77"/>
    <w:rsid w:val="00226978"/>
    <w:rsid w:val="00227073"/>
    <w:rsid w:val="00227891"/>
    <w:rsid w:val="00227B4D"/>
    <w:rsid w:val="00227C66"/>
    <w:rsid w:val="00230221"/>
    <w:rsid w:val="0023076E"/>
    <w:rsid w:val="00232119"/>
    <w:rsid w:val="002335B6"/>
    <w:rsid w:val="00233E7D"/>
    <w:rsid w:val="00234168"/>
    <w:rsid w:val="0023489F"/>
    <w:rsid w:val="002354EB"/>
    <w:rsid w:val="0023589C"/>
    <w:rsid w:val="00236D20"/>
    <w:rsid w:val="00236D7E"/>
    <w:rsid w:val="00237164"/>
    <w:rsid w:val="002375A7"/>
    <w:rsid w:val="00237BF4"/>
    <w:rsid w:val="00237CCA"/>
    <w:rsid w:val="00240103"/>
    <w:rsid w:val="00240335"/>
    <w:rsid w:val="00240363"/>
    <w:rsid w:val="002403C7"/>
    <w:rsid w:val="002418FB"/>
    <w:rsid w:val="00241C0B"/>
    <w:rsid w:val="00244F06"/>
    <w:rsid w:val="0024550F"/>
    <w:rsid w:val="0024557A"/>
    <w:rsid w:val="00245CD7"/>
    <w:rsid w:val="00246B72"/>
    <w:rsid w:val="00246F90"/>
    <w:rsid w:val="002473EA"/>
    <w:rsid w:val="002517A2"/>
    <w:rsid w:val="00251D1A"/>
    <w:rsid w:val="002527E0"/>
    <w:rsid w:val="00252A69"/>
    <w:rsid w:val="002534D2"/>
    <w:rsid w:val="002535AE"/>
    <w:rsid w:val="00253DD7"/>
    <w:rsid w:val="00254CAE"/>
    <w:rsid w:val="002556DA"/>
    <w:rsid w:val="002573DC"/>
    <w:rsid w:val="002634A0"/>
    <w:rsid w:val="00263997"/>
    <w:rsid w:val="00264245"/>
    <w:rsid w:val="00266190"/>
    <w:rsid w:val="00266218"/>
    <w:rsid w:val="00266235"/>
    <w:rsid w:val="0026633C"/>
    <w:rsid w:val="00267620"/>
    <w:rsid w:val="002719D4"/>
    <w:rsid w:val="002743FE"/>
    <w:rsid w:val="002744E0"/>
    <w:rsid w:val="00274BE7"/>
    <w:rsid w:val="00274FD3"/>
    <w:rsid w:val="00275566"/>
    <w:rsid w:val="00275727"/>
    <w:rsid w:val="00275887"/>
    <w:rsid w:val="00275E38"/>
    <w:rsid w:val="00276044"/>
    <w:rsid w:val="0027661F"/>
    <w:rsid w:val="00276ADB"/>
    <w:rsid w:val="00277A73"/>
    <w:rsid w:val="00277FC9"/>
    <w:rsid w:val="002804F5"/>
    <w:rsid w:val="00280777"/>
    <w:rsid w:val="0028094E"/>
    <w:rsid w:val="00280C9E"/>
    <w:rsid w:val="0028145A"/>
    <w:rsid w:val="0028247E"/>
    <w:rsid w:val="0028351D"/>
    <w:rsid w:val="00283B35"/>
    <w:rsid w:val="0028640E"/>
    <w:rsid w:val="00286434"/>
    <w:rsid w:val="00286906"/>
    <w:rsid w:val="00287992"/>
    <w:rsid w:val="00290D1F"/>
    <w:rsid w:val="00290DC1"/>
    <w:rsid w:val="0029294A"/>
    <w:rsid w:val="0029316F"/>
    <w:rsid w:val="00294137"/>
    <w:rsid w:val="00295230"/>
    <w:rsid w:val="00295693"/>
    <w:rsid w:val="002956F7"/>
    <w:rsid w:val="00295EEE"/>
    <w:rsid w:val="002963F6"/>
    <w:rsid w:val="00296DA1"/>
    <w:rsid w:val="00297394"/>
    <w:rsid w:val="00297FDB"/>
    <w:rsid w:val="002A0E5A"/>
    <w:rsid w:val="002A1E23"/>
    <w:rsid w:val="002A2D83"/>
    <w:rsid w:val="002A2E3D"/>
    <w:rsid w:val="002A30C1"/>
    <w:rsid w:val="002A35F0"/>
    <w:rsid w:val="002A38EF"/>
    <w:rsid w:val="002A395D"/>
    <w:rsid w:val="002A3CE1"/>
    <w:rsid w:val="002A474A"/>
    <w:rsid w:val="002A4F28"/>
    <w:rsid w:val="002A54A3"/>
    <w:rsid w:val="002A5B15"/>
    <w:rsid w:val="002A6ACD"/>
    <w:rsid w:val="002A73DA"/>
    <w:rsid w:val="002A7FEA"/>
    <w:rsid w:val="002B0050"/>
    <w:rsid w:val="002B02A9"/>
    <w:rsid w:val="002B0A5C"/>
    <w:rsid w:val="002B0D4B"/>
    <w:rsid w:val="002B126A"/>
    <w:rsid w:val="002B1396"/>
    <w:rsid w:val="002B1D46"/>
    <w:rsid w:val="002B2AE3"/>
    <w:rsid w:val="002B3348"/>
    <w:rsid w:val="002B35E4"/>
    <w:rsid w:val="002B3BAF"/>
    <w:rsid w:val="002B3F95"/>
    <w:rsid w:val="002B41C7"/>
    <w:rsid w:val="002B4340"/>
    <w:rsid w:val="002B44FC"/>
    <w:rsid w:val="002B5167"/>
    <w:rsid w:val="002B54E5"/>
    <w:rsid w:val="002B55C7"/>
    <w:rsid w:val="002B5EA7"/>
    <w:rsid w:val="002B5F54"/>
    <w:rsid w:val="002B6636"/>
    <w:rsid w:val="002B76D4"/>
    <w:rsid w:val="002C0084"/>
    <w:rsid w:val="002C061F"/>
    <w:rsid w:val="002C0894"/>
    <w:rsid w:val="002C0AA0"/>
    <w:rsid w:val="002C0AFE"/>
    <w:rsid w:val="002C0DA2"/>
    <w:rsid w:val="002C1DB5"/>
    <w:rsid w:val="002C2636"/>
    <w:rsid w:val="002C2CB2"/>
    <w:rsid w:val="002C2DA7"/>
    <w:rsid w:val="002C373B"/>
    <w:rsid w:val="002C3AF9"/>
    <w:rsid w:val="002C40AD"/>
    <w:rsid w:val="002C41BE"/>
    <w:rsid w:val="002C5141"/>
    <w:rsid w:val="002C54C7"/>
    <w:rsid w:val="002C5F76"/>
    <w:rsid w:val="002C6C26"/>
    <w:rsid w:val="002C711B"/>
    <w:rsid w:val="002C727C"/>
    <w:rsid w:val="002C76F0"/>
    <w:rsid w:val="002D0238"/>
    <w:rsid w:val="002D03D9"/>
    <w:rsid w:val="002D1DA0"/>
    <w:rsid w:val="002D1DAB"/>
    <w:rsid w:val="002D292A"/>
    <w:rsid w:val="002D318E"/>
    <w:rsid w:val="002D41E5"/>
    <w:rsid w:val="002D55A8"/>
    <w:rsid w:val="002D5666"/>
    <w:rsid w:val="002D5FBE"/>
    <w:rsid w:val="002D5FD2"/>
    <w:rsid w:val="002D657F"/>
    <w:rsid w:val="002D7E05"/>
    <w:rsid w:val="002E01CB"/>
    <w:rsid w:val="002E136B"/>
    <w:rsid w:val="002E1405"/>
    <w:rsid w:val="002E38F4"/>
    <w:rsid w:val="002E3F8A"/>
    <w:rsid w:val="002E5564"/>
    <w:rsid w:val="002E58C6"/>
    <w:rsid w:val="002E598A"/>
    <w:rsid w:val="002E5BF7"/>
    <w:rsid w:val="002E6C9F"/>
    <w:rsid w:val="002E7076"/>
    <w:rsid w:val="002E7814"/>
    <w:rsid w:val="002F0612"/>
    <w:rsid w:val="002F0A08"/>
    <w:rsid w:val="002F0DC6"/>
    <w:rsid w:val="002F1178"/>
    <w:rsid w:val="002F17CB"/>
    <w:rsid w:val="002F197C"/>
    <w:rsid w:val="002F2BAC"/>
    <w:rsid w:val="002F2D36"/>
    <w:rsid w:val="002F4623"/>
    <w:rsid w:val="002F4AD6"/>
    <w:rsid w:val="002F5DA2"/>
    <w:rsid w:val="002F775C"/>
    <w:rsid w:val="00300B82"/>
    <w:rsid w:val="00301883"/>
    <w:rsid w:val="003019A3"/>
    <w:rsid w:val="00302008"/>
    <w:rsid w:val="0030207B"/>
    <w:rsid w:val="003028C9"/>
    <w:rsid w:val="00302933"/>
    <w:rsid w:val="003031D7"/>
    <w:rsid w:val="00303666"/>
    <w:rsid w:val="00303C56"/>
    <w:rsid w:val="0030488A"/>
    <w:rsid w:val="00305628"/>
    <w:rsid w:val="00305A5D"/>
    <w:rsid w:val="003063F9"/>
    <w:rsid w:val="0030675B"/>
    <w:rsid w:val="00307559"/>
    <w:rsid w:val="00307749"/>
    <w:rsid w:val="003113A1"/>
    <w:rsid w:val="00311697"/>
    <w:rsid w:val="00312522"/>
    <w:rsid w:val="00312529"/>
    <w:rsid w:val="00312591"/>
    <w:rsid w:val="0031260C"/>
    <w:rsid w:val="00312EF7"/>
    <w:rsid w:val="0031313E"/>
    <w:rsid w:val="0031449B"/>
    <w:rsid w:val="00315462"/>
    <w:rsid w:val="0031734B"/>
    <w:rsid w:val="003178AD"/>
    <w:rsid w:val="003178CF"/>
    <w:rsid w:val="00320415"/>
    <w:rsid w:val="00320FFD"/>
    <w:rsid w:val="00321887"/>
    <w:rsid w:val="003227F0"/>
    <w:rsid w:val="00322E72"/>
    <w:rsid w:val="0032315A"/>
    <w:rsid w:val="003245C7"/>
    <w:rsid w:val="003250FA"/>
    <w:rsid w:val="0032544B"/>
    <w:rsid w:val="00325E01"/>
    <w:rsid w:val="00325EFF"/>
    <w:rsid w:val="00325F08"/>
    <w:rsid w:val="003261C3"/>
    <w:rsid w:val="00326535"/>
    <w:rsid w:val="00326ABF"/>
    <w:rsid w:val="00326CA9"/>
    <w:rsid w:val="00326DB5"/>
    <w:rsid w:val="0032729D"/>
    <w:rsid w:val="00327CFE"/>
    <w:rsid w:val="00330AB0"/>
    <w:rsid w:val="00330AF6"/>
    <w:rsid w:val="00331253"/>
    <w:rsid w:val="00332D88"/>
    <w:rsid w:val="0033337D"/>
    <w:rsid w:val="0033519C"/>
    <w:rsid w:val="003367A2"/>
    <w:rsid w:val="00336BD9"/>
    <w:rsid w:val="00336FEC"/>
    <w:rsid w:val="003376A5"/>
    <w:rsid w:val="00337B79"/>
    <w:rsid w:val="0034260F"/>
    <w:rsid w:val="00342FBB"/>
    <w:rsid w:val="0034305F"/>
    <w:rsid w:val="00343303"/>
    <w:rsid w:val="003435DC"/>
    <w:rsid w:val="00345328"/>
    <w:rsid w:val="00345AB3"/>
    <w:rsid w:val="00347CEE"/>
    <w:rsid w:val="00347F7D"/>
    <w:rsid w:val="003511A1"/>
    <w:rsid w:val="003519C9"/>
    <w:rsid w:val="00351E17"/>
    <w:rsid w:val="003520A4"/>
    <w:rsid w:val="0035225B"/>
    <w:rsid w:val="00352EBC"/>
    <w:rsid w:val="0035373F"/>
    <w:rsid w:val="00353DC7"/>
    <w:rsid w:val="0035437E"/>
    <w:rsid w:val="00355D7B"/>
    <w:rsid w:val="00355E5B"/>
    <w:rsid w:val="003560A2"/>
    <w:rsid w:val="00356404"/>
    <w:rsid w:val="00356948"/>
    <w:rsid w:val="00356B8F"/>
    <w:rsid w:val="00356B91"/>
    <w:rsid w:val="00357032"/>
    <w:rsid w:val="00360907"/>
    <w:rsid w:val="0036099B"/>
    <w:rsid w:val="00361114"/>
    <w:rsid w:val="0036123F"/>
    <w:rsid w:val="00361502"/>
    <w:rsid w:val="003625D8"/>
    <w:rsid w:val="003629F7"/>
    <w:rsid w:val="00363B3B"/>
    <w:rsid w:val="00363C38"/>
    <w:rsid w:val="003640B5"/>
    <w:rsid w:val="003640CC"/>
    <w:rsid w:val="003647F5"/>
    <w:rsid w:val="0036560A"/>
    <w:rsid w:val="003659E1"/>
    <w:rsid w:val="00366444"/>
    <w:rsid w:val="00366691"/>
    <w:rsid w:val="00366925"/>
    <w:rsid w:val="00366BC8"/>
    <w:rsid w:val="00366E5C"/>
    <w:rsid w:val="00367822"/>
    <w:rsid w:val="00367A9E"/>
    <w:rsid w:val="003705A7"/>
    <w:rsid w:val="00370671"/>
    <w:rsid w:val="00370971"/>
    <w:rsid w:val="003737B2"/>
    <w:rsid w:val="00374AA9"/>
    <w:rsid w:val="00374D36"/>
    <w:rsid w:val="00375146"/>
    <w:rsid w:val="003751CF"/>
    <w:rsid w:val="0037523E"/>
    <w:rsid w:val="00375CAD"/>
    <w:rsid w:val="00376BBC"/>
    <w:rsid w:val="00377CA7"/>
    <w:rsid w:val="00377CD7"/>
    <w:rsid w:val="00380300"/>
    <w:rsid w:val="003809C0"/>
    <w:rsid w:val="00380BB0"/>
    <w:rsid w:val="0038101F"/>
    <w:rsid w:val="003814FD"/>
    <w:rsid w:val="003816BB"/>
    <w:rsid w:val="003817C5"/>
    <w:rsid w:val="00382048"/>
    <w:rsid w:val="003828FE"/>
    <w:rsid w:val="003829A9"/>
    <w:rsid w:val="003833F2"/>
    <w:rsid w:val="003840FE"/>
    <w:rsid w:val="00384876"/>
    <w:rsid w:val="00384B7D"/>
    <w:rsid w:val="00384C80"/>
    <w:rsid w:val="00384F7E"/>
    <w:rsid w:val="00385135"/>
    <w:rsid w:val="00385292"/>
    <w:rsid w:val="003853F2"/>
    <w:rsid w:val="003857CA"/>
    <w:rsid w:val="003858CC"/>
    <w:rsid w:val="003858E0"/>
    <w:rsid w:val="00385C60"/>
    <w:rsid w:val="00385F09"/>
    <w:rsid w:val="003868C2"/>
    <w:rsid w:val="00386C48"/>
    <w:rsid w:val="003872E0"/>
    <w:rsid w:val="00387940"/>
    <w:rsid w:val="00387E36"/>
    <w:rsid w:val="00390F8D"/>
    <w:rsid w:val="00391802"/>
    <w:rsid w:val="00392609"/>
    <w:rsid w:val="00392C15"/>
    <w:rsid w:val="00392D26"/>
    <w:rsid w:val="00392D5C"/>
    <w:rsid w:val="00393C6A"/>
    <w:rsid w:val="0039434D"/>
    <w:rsid w:val="00395453"/>
    <w:rsid w:val="0039590C"/>
    <w:rsid w:val="00395DFB"/>
    <w:rsid w:val="00396AAE"/>
    <w:rsid w:val="00396F4B"/>
    <w:rsid w:val="003971BC"/>
    <w:rsid w:val="00397546"/>
    <w:rsid w:val="003A0961"/>
    <w:rsid w:val="003A0DD6"/>
    <w:rsid w:val="003A0FC3"/>
    <w:rsid w:val="003A1D7A"/>
    <w:rsid w:val="003A2245"/>
    <w:rsid w:val="003A2330"/>
    <w:rsid w:val="003A2F39"/>
    <w:rsid w:val="003A2FCC"/>
    <w:rsid w:val="003A3B1A"/>
    <w:rsid w:val="003A3B71"/>
    <w:rsid w:val="003A3BCB"/>
    <w:rsid w:val="003A3C9D"/>
    <w:rsid w:val="003A48B7"/>
    <w:rsid w:val="003A5682"/>
    <w:rsid w:val="003A577B"/>
    <w:rsid w:val="003A5C56"/>
    <w:rsid w:val="003A5CE1"/>
    <w:rsid w:val="003A74C7"/>
    <w:rsid w:val="003B0556"/>
    <w:rsid w:val="003B0ED8"/>
    <w:rsid w:val="003B15B0"/>
    <w:rsid w:val="003B3086"/>
    <w:rsid w:val="003B408C"/>
    <w:rsid w:val="003B476F"/>
    <w:rsid w:val="003B4937"/>
    <w:rsid w:val="003B5EF5"/>
    <w:rsid w:val="003B6364"/>
    <w:rsid w:val="003B65AF"/>
    <w:rsid w:val="003B67E0"/>
    <w:rsid w:val="003B6DB0"/>
    <w:rsid w:val="003B6ED5"/>
    <w:rsid w:val="003B7995"/>
    <w:rsid w:val="003B7B8B"/>
    <w:rsid w:val="003C0229"/>
    <w:rsid w:val="003C054F"/>
    <w:rsid w:val="003C0B42"/>
    <w:rsid w:val="003C157B"/>
    <w:rsid w:val="003C18E0"/>
    <w:rsid w:val="003C1B60"/>
    <w:rsid w:val="003C1FA1"/>
    <w:rsid w:val="003C2DD7"/>
    <w:rsid w:val="003C34D3"/>
    <w:rsid w:val="003C3711"/>
    <w:rsid w:val="003C3A5C"/>
    <w:rsid w:val="003C4F1E"/>
    <w:rsid w:val="003C651E"/>
    <w:rsid w:val="003C6622"/>
    <w:rsid w:val="003C693B"/>
    <w:rsid w:val="003C6A0C"/>
    <w:rsid w:val="003C712C"/>
    <w:rsid w:val="003C7343"/>
    <w:rsid w:val="003C795C"/>
    <w:rsid w:val="003D016D"/>
    <w:rsid w:val="003D2DD7"/>
    <w:rsid w:val="003D2EA6"/>
    <w:rsid w:val="003D30E2"/>
    <w:rsid w:val="003D3925"/>
    <w:rsid w:val="003D5546"/>
    <w:rsid w:val="003D5BAE"/>
    <w:rsid w:val="003D5D19"/>
    <w:rsid w:val="003D6EA1"/>
    <w:rsid w:val="003D72FD"/>
    <w:rsid w:val="003E0D4F"/>
    <w:rsid w:val="003E147D"/>
    <w:rsid w:val="003E2E29"/>
    <w:rsid w:val="003E30E7"/>
    <w:rsid w:val="003E347B"/>
    <w:rsid w:val="003E60E4"/>
    <w:rsid w:val="003E6486"/>
    <w:rsid w:val="003E7274"/>
    <w:rsid w:val="003E7666"/>
    <w:rsid w:val="003E76C7"/>
    <w:rsid w:val="003F1396"/>
    <w:rsid w:val="003F33BC"/>
    <w:rsid w:val="003F37A2"/>
    <w:rsid w:val="003F3F70"/>
    <w:rsid w:val="003F515C"/>
    <w:rsid w:val="003F53ED"/>
    <w:rsid w:val="003F69B2"/>
    <w:rsid w:val="003F6C48"/>
    <w:rsid w:val="003F70C4"/>
    <w:rsid w:val="003F71FC"/>
    <w:rsid w:val="003F7B42"/>
    <w:rsid w:val="004000C3"/>
    <w:rsid w:val="0040055E"/>
    <w:rsid w:val="00400786"/>
    <w:rsid w:val="00400AD2"/>
    <w:rsid w:val="00401340"/>
    <w:rsid w:val="0040163E"/>
    <w:rsid w:val="00402E93"/>
    <w:rsid w:val="00402EDC"/>
    <w:rsid w:val="004034E5"/>
    <w:rsid w:val="0040443E"/>
    <w:rsid w:val="00405431"/>
    <w:rsid w:val="0040553E"/>
    <w:rsid w:val="00405940"/>
    <w:rsid w:val="004065E0"/>
    <w:rsid w:val="004065E6"/>
    <w:rsid w:val="0040692F"/>
    <w:rsid w:val="00406BD8"/>
    <w:rsid w:val="00407D69"/>
    <w:rsid w:val="0041050E"/>
    <w:rsid w:val="0041066F"/>
    <w:rsid w:val="0041082A"/>
    <w:rsid w:val="00410A71"/>
    <w:rsid w:val="00410FE4"/>
    <w:rsid w:val="00411AE6"/>
    <w:rsid w:val="00411FF6"/>
    <w:rsid w:val="00412942"/>
    <w:rsid w:val="00412C75"/>
    <w:rsid w:val="004132B4"/>
    <w:rsid w:val="004136F7"/>
    <w:rsid w:val="00414871"/>
    <w:rsid w:val="00414A80"/>
    <w:rsid w:val="00414B61"/>
    <w:rsid w:val="00415251"/>
    <w:rsid w:val="004155BA"/>
    <w:rsid w:val="004158D0"/>
    <w:rsid w:val="0041696D"/>
    <w:rsid w:val="00417C93"/>
    <w:rsid w:val="00420770"/>
    <w:rsid w:val="00420A04"/>
    <w:rsid w:val="0042148F"/>
    <w:rsid w:val="00421670"/>
    <w:rsid w:val="00421978"/>
    <w:rsid w:val="00421D27"/>
    <w:rsid w:val="0042280A"/>
    <w:rsid w:val="00423D6A"/>
    <w:rsid w:val="00423F15"/>
    <w:rsid w:val="004249FF"/>
    <w:rsid w:val="00424D6F"/>
    <w:rsid w:val="00425507"/>
    <w:rsid w:val="00425D43"/>
    <w:rsid w:val="00425F81"/>
    <w:rsid w:val="004269CA"/>
    <w:rsid w:val="00426E0E"/>
    <w:rsid w:val="00427100"/>
    <w:rsid w:val="00427BB2"/>
    <w:rsid w:val="00430728"/>
    <w:rsid w:val="00430767"/>
    <w:rsid w:val="0043094F"/>
    <w:rsid w:val="00430A25"/>
    <w:rsid w:val="00430E7B"/>
    <w:rsid w:val="00430ED6"/>
    <w:rsid w:val="00430F6B"/>
    <w:rsid w:val="004312C1"/>
    <w:rsid w:val="0043158D"/>
    <w:rsid w:val="004323EF"/>
    <w:rsid w:val="0043272D"/>
    <w:rsid w:val="00433636"/>
    <w:rsid w:val="004337A3"/>
    <w:rsid w:val="00433DE5"/>
    <w:rsid w:val="00434B98"/>
    <w:rsid w:val="00434EE9"/>
    <w:rsid w:val="00434FE1"/>
    <w:rsid w:val="00435106"/>
    <w:rsid w:val="00435C58"/>
    <w:rsid w:val="00435E18"/>
    <w:rsid w:val="00436820"/>
    <w:rsid w:val="00436F1A"/>
    <w:rsid w:val="004374DC"/>
    <w:rsid w:val="004410DE"/>
    <w:rsid w:val="004411B2"/>
    <w:rsid w:val="00441411"/>
    <w:rsid w:val="00441FB4"/>
    <w:rsid w:val="00442E5F"/>
    <w:rsid w:val="00442E9D"/>
    <w:rsid w:val="0044329E"/>
    <w:rsid w:val="00443361"/>
    <w:rsid w:val="00443B0B"/>
    <w:rsid w:val="0044401A"/>
    <w:rsid w:val="004447A4"/>
    <w:rsid w:val="00444CC9"/>
    <w:rsid w:val="00444EFD"/>
    <w:rsid w:val="0044663B"/>
    <w:rsid w:val="00446E4E"/>
    <w:rsid w:val="004501CE"/>
    <w:rsid w:val="00450B17"/>
    <w:rsid w:val="00451B50"/>
    <w:rsid w:val="00451BDF"/>
    <w:rsid w:val="00451F2E"/>
    <w:rsid w:val="004523EB"/>
    <w:rsid w:val="00452D7A"/>
    <w:rsid w:val="004534BD"/>
    <w:rsid w:val="00453D05"/>
    <w:rsid w:val="00453E13"/>
    <w:rsid w:val="004549DE"/>
    <w:rsid w:val="004566A3"/>
    <w:rsid w:val="004607DB"/>
    <w:rsid w:val="0046179E"/>
    <w:rsid w:val="00462B0A"/>
    <w:rsid w:val="00462EF6"/>
    <w:rsid w:val="0046358F"/>
    <w:rsid w:val="00463787"/>
    <w:rsid w:val="00463CEB"/>
    <w:rsid w:val="00463F29"/>
    <w:rsid w:val="00463F4F"/>
    <w:rsid w:val="00464077"/>
    <w:rsid w:val="00464DFD"/>
    <w:rsid w:val="00465A3E"/>
    <w:rsid w:val="00465C73"/>
    <w:rsid w:val="00465C99"/>
    <w:rsid w:val="004661D2"/>
    <w:rsid w:val="004668B3"/>
    <w:rsid w:val="0046765F"/>
    <w:rsid w:val="00467E58"/>
    <w:rsid w:val="00470315"/>
    <w:rsid w:val="004703F1"/>
    <w:rsid w:val="004713BB"/>
    <w:rsid w:val="004718C7"/>
    <w:rsid w:val="00472E6B"/>
    <w:rsid w:val="0047358B"/>
    <w:rsid w:val="00473B66"/>
    <w:rsid w:val="00474CCF"/>
    <w:rsid w:val="00475280"/>
    <w:rsid w:val="00475639"/>
    <w:rsid w:val="0047742E"/>
    <w:rsid w:val="004800EC"/>
    <w:rsid w:val="00480656"/>
    <w:rsid w:val="00480F3C"/>
    <w:rsid w:val="0048110B"/>
    <w:rsid w:val="00482146"/>
    <w:rsid w:val="00482148"/>
    <w:rsid w:val="004821A8"/>
    <w:rsid w:val="0048300E"/>
    <w:rsid w:val="004832D6"/>
    <w:rsid w:val="00483FFE"/>
    <w:rsid w:val="004845E3"/>
    <w:rsid w:val="00484619"/>
    <w:rsid w:val="0048484D"/>
    <w:rsid w:val="00486D24"/>
    <w:rsid w:val="004877FA"/>
    <w:rsid w:val="004907B5"/>
    <w:rsid w:val="00490C24"/>
    <w:rsid w:val="00490CDC"/>
    <w:rsid w:val="004912A9"/>
    <w:rsid w:val="004920C7"/>
    <w:rsid w:val="00492CF4"/>
    <w:rsid w:val="004933B2"/>
    <w:rsid w:val="0049384C"/>
    <w:rsid w:val="004941E4"/>
    <w:rsid w:val="004948FC"/>
    <w:rsid w:val="00496DB4"/>
    <w:rsid w:val="004970AE"/>
    <w:rsid w:val="00497EB4"/>
    <w:rsid w:val="004A0786"/>
    <w:rsid w:val="004A0C90"/>
    <w:rsid w:val="004A16F1"/>
    <w:rsid w:val="004A266F"/>
    <w:rsid w:val="004A2A35"/>
    <w:rsid w:val="004A2E49"/>
    <w:rsid w:val="004A3466"/>
    <w:rsid w:val="004A34DD"/>
    <w:rsid w:val="004A3A7D"/>
    <w:rsid w:val="004A3BBF"/>
    <w:rsid w:val="004A5D47"/>
    <w:rsid w:val="004A6F4A"/>
    <w:rsid w:val="004A7EAD"/>
    <w:rsid w:val="004B0274"/>
    <w:rsid w:val="004B0673"/>
    <w:rsid w:val="004B09D7"/>
    <w:rsid w:val="004B12C8"/>
    <w:rsid w:val="004B1633"/>
    <w:rsid w:val="004B184F"/>
    <w:rsid w:val="004B19F3"/>
    <w:rsid w:val="004B1A20"/>
    <w:rsid w:val="004B227E"/>
    <w:rsid w:val="004B2BAD"/>
    <w:rsid w:val="004B2CBB"/>
    <w:rsid w:val="004B30DE"/>
    <w:rsid w:val="004B40F1"/>
    <w:rsid w:val="004B4B99"/>
    <w:rsid w:val="004B4BB5"/>
    <w:rsid w:val="004B4D01"/>
    <w:rsid w:val="004B69A0"/>
    <w:rsid w:val="004B7A6F"/>
    <w:rsid w:val="004C0287"/>
    <w:rsid w:val="004C0A2C"/>
    <w:rsid w:val="004C0E30"/>
    <w:rsid w:val="004C10A5"/>
    <w:rsid w:val="004C127D"/>
    <w:rsid w:val="004C14A5"/>
    <w:rsid w:val="004C184A"/>
    <w:rsid w:val="004C2611"/>
    <w:rsid w:val="004C2665"/>
    <w:rsid w:val="004C272C"/>
    <w:rsid w:val="004C33F4"/>
    <w:rsid w:val="004C428C"/>
    <w:rsid w:val="004C4DA0"/>
    <w:rsid w:val="004C531A"/>
    <w:rsid w:val="004C5538"/>
    <w:rsid w:val="004C5AC0"/>
    <w:rsid w:val="004C5C9F"/>
    <w:rsid w:val="004C62CA"/>
    <w:rsid w:val="004C74E9"/>
    <w:rsid w:val="004D1B57"/>
    <w:rsid w:val="004D1E33"/>
    <w:rsid w:val="004D3528"/>
    <w:rsid w:val="004D3CC9"/>
    <w:rsid w:val="004D41E7"/>
    <w:rsid w:val="004D4473"/>
    <w:rsid w:val="004D44D8"/>
    <w:rsid w:val="004D4D9D"/>
    <w:rsid w:val="004D62E2"/>
    <w:rsid w:val="004D65A1"/>
    <w:rsid w:val="004D70A0"/>
    <w:rsid w:val="004D736A"/>
    <w:rsid w:val="004D7503"/>
    <w:rsid w:val="004D7622"/>
    <w:rsid w:val="004E0695"/>
    <w:rsid w:val="004E13A9"/>
    <w:rsid w:val="004E1B16"/>
    <w:rsid w:val="004E1F55"/>
    <w:rsid w:val="004E2A20"/>
    <w:rsid w:val="004E3AE1"/>
    <w:rsid w:val="004E41C7"/>
    <w:rsid w:val="004E479D"/>
    <w:rsid w:val="004E5A43"/>
    <w:rsid w:val="004E658B"/>
    <w:rsid w:val="004E6E5C"/>
    <w:rsid w:val="004E71D5"/>
    <w:rsid w:val="004E7520"/>
    <w:rsid w:val="004E7742"/>
    <w:rsid w:val="004E79BC"/>
    <w:rsid w:val="004E7BB0"/>
    <w:rsid w:val="004F061E"/>
    <w:rsid w:val="004F0B67"/>
    <w:rsid w:val="004F3423"/>
    <w:rsid w:val="004F3543"/>
    <w:rsid w:val="004F3773"/>
    <w:rsid w:val="004F3D19"/>
    <w:rsid w:val="004F43AD"/>
    <w:rsid w:val="004F4FA2"/>
    <w:rsid w:val="004F5A56"/>
    <w:rsid w:val="004F6E1D"/>
    <w:rsid w:val="004F79C8"/>
    <w:rsid w:val="004F7D70"/>
    <w:rsid w:val="00500529"/>
    <w:rsid w:val="00500E79"/>
    <w:rsid w:val="00501B85"/>
    <w:rsid w:val="00501C2C"/>
    <w:rsid w:val="00501E54"/>
    <w:rsid w:val="005028F9"/>
    <w:rsid w:val="00503DC1"/>
    <w:rsid w:val="00504882"/>
    <w:rsid w:val="00504AF5"/>
    <w:rsid w:val="0050577E"/>
    <w:rsid w:val="00505D36"/>
    <w:rsid w:val="0050714D"/>
    <w:rsid w:val="005071C2"/>
    <w:rsid w:val="00507CAD"/>
    <w:rsid w:val="005107A7"/>
    <w:rsid w:val="00511F8C"/>
    <w:rsid w:val="00511FF2"/>
    <w:rsid w:val="00512D03"/>
    <w:rsid w:val="0051434F"/>
    <w:rsid w:val="0051446A"/>
    <w:rsid w:val="0051493A"/>
    <w:rsid w:val="005149BF"/>
    <w:rsid w:val="00514AAB"/>
    <w:rsid w:val="00514CD9"/>
    <w:rsid w:val="00514E05"/>
    <w:rsid w:val="0051524E"/>
    <w:rsid w:val="00515321"/>
    <w:rsid w:val="00515E5C"/>
    <w:rsid w:val="005164E6"/>
    <w:rsid w:val="005167DC"/>
    <w:rsid w:val="00520263"/>
    <w:rsid w:val="005212DE"/>
    <w:rsid w:val="00521656"/>
    <w:rsid w:val="00523CD9"/>
    <w:rsid w:val="005241AB"/>
    <w:rsid w:val="00524900"/>
    <w:rsid w:val="005266D5"/>
    <w:rsid w:val="0052676F"/>
    <w:rsid w:val="005267CE"/>
    <w:rsid w:val="00526BAD"/>
    <w:rsid w:val="00526FE0"/>
    <w:rsid w:val="00527382"/>
    <w:rsid w:val="005275B6"/>
    <w:rsid w:val="0053002D"/>
    <w:rsid w:val="005306FB"/>
    <w:rsid w:val="00530CB3"/>
    <w:rsid w:val="005319C9"/>
    <w:rsid w:val="00532209"/>
    <w:rsid w:val="005326BB"/>
    <w:rsid w:val="005326C0"/>
    <w:rsid w:val="0053323E"/>
    <w:rsid w:val="00534452"/>
    <w:rsid w:val="00534601"/>
    <w:rsid w:val="0053472A"/>
    <w:rsid w:val="005348A9"/>
    <w:rsid w:val="0053543F"/>
    <w:rsid w:val="00535F09"/>
    <w:rsid w:val="0053602B"/>
    <w:rsid w:val="005371D8"/>
    <w:rsid w:val="005376BE"/>
    <w:rsid w:val="00537E5A"/>
    <w:rsid w:val="00537E8C"/>
    <w:rsid w:val="0054078C"/>
    <w:rsid w:val="00540869"/>
    <w:rsid w:val="00540AAB"/>
    <w:rsid w:val="005412F2"/>
    <w:rsid w:val="00541609"/>
    <w:rsid w:val="00541BB1"/>
    <w:rsid w:val="005422DB"/>
    <w:rsid w:val="00542335"/>
    <w:rsid w:val="00542F10"/>
    <w:rsid w:val="00543C21"/>
    <w:rsid w:val="005447CA"/>
    <w:rsid w:val="00544898"/>
    <w:rsid w:val="0054695A"/>
    <w:rsid w:val="00546CC9"/>
    <w:rsid w:val="0054783F"/>
    <w:rsid w:val="0054791A"/>
    <w:rsid w:val="00551517"/>
    <w:rsid w:val="005516BF"/>
    <w:rsid w:val="00551AF1"/>
    <w:rsid w:val="00551C03"/>
    <w:rsid w:val="00553D36"/>
    <w:rsid w:val="00554BAC"/>
    <w:rsid w:val="00555C08"/>
    <w:rsid w:val="00555CC7"/>
    <w:rsid w:val="00556004"/>
    <w:rsid w:val="005561B5"/>
    <w:rsid w:val="00556236"/>
    <w:rsid w:val="005565E4"/>
    <w:rsid w:val="00556BE2"/>
    <w:rsid w:val="00557663"/>
    <w:rsid w:val="00557855"/>
    <w:rsid w:val="00557F9E"/>
    <w:rsid w:val="005602AA"/>
    <w:rsid w:val="005607EC"/>
    <w:rsid w:val="00561B4C"/>
    <w:rsid w:val="00561E4B"/>
    <w:rsid w:val="00564B95"/>
    <w:rsid w:val="00564EEB"/>
    <w:rsid w:val="005651FF"/>
    <w:rsid w:val="005653DF"/>
    <w:rsid w:val="00565DE2"/>
    <w:rsid w:val="0056611F"/>
    <w:rsid w:val="00566CF9"/>
    <w:rsid w:val="00567714"/>
    <w:rsid w:val="00567F92"/>
    <w:rsid w:val="00570432"/>
    <w:rsid w:val="00570E5E"/>
    <w:rsid w:val="0057103A"/>
    <w:rsid w:val="005710F1"/>
    <w:rsid w:val="005713AC"/>
    <w:rsid w:val="0057254E"/>
    <w:rsid w:val="00572E9B"/>
    <w:rsid w:val="00573A83"/>
    <w:rsid w:val="00574167"/>
    <w:rsid w:val="00574389"/>
    <w:rsid w:val="0057448E"/>
    <w:rsid w:val="0057544A"/>
    <w:rsid w:val="005756E7"/>
    <w:rsid w:val="00575D81"/>
    <w:rsid w:val="005771E1"/>
    <w:rsid w:val="005776B8"/>
    <w:rsid w:val="00577F4C"/>
    <w:rsid w:val="00577F9A"/>
    <w:rsid w:val="005807B4"/>
    <w:rsid w:val="0058157F"/>
    <w:rsid w:val="00581600"/>
    <w:rsid w:val="00581C04"/>
    <w:rsid w:val="00581CDC"/>
    <w:rsid w:val="005821E0"/>
    <w:rsid w:val="0058279D"/>
    <w:rsid w:val="005829F6"/>
    <w:rsid w:val="005833D0"/>
    <w:rsid w:val="00583D24"/>
    <w:rsid w:val="00583DF4"/>
    <w:rsid w:val="0058595B"/>
    <w:rsid w:val="005864D8"/>
    <w:rsid w:val="00586812"/>
    <w:rsid w:val="005870DC"/>
    <w:rsid w:val="00587289"/>
    <w:rsid w:val="00587DE6"/>
    <w:rsid w:val="00590511"/>
    <w:rsid w:val="0059194A"/>
    <w:rsid w:val="00592DDA"/>
    <w:rsid w:val="00594510"/>
    <w:rsid w:val="00594A28"/>
    <w:rsid w:val="00594EC0"/>
    <w:rsid w:val="0059587B"/>
    <w:rsid w:val="00595A6A"/>
    <w:rsid w:val="00595D18"/>
    <w:rsid w:val="00596AD5"/>
    <w:rsid w:val="00596BF2"/>
    <w:rsid w:val="00596E4D"/>
    <w:rsid w:val="00597101"/>
    <w:rsid w:val="005972D1"/>
    <w:rsid w:val="005A135F"/>
    <w:rsid w:val="005A17C6"/>
    <w:rsid w:val="005A32D1"/>
    <w:rsid w:val="005A50E8"/>
    <w:rsid w:val="005A53B2"/>
    <w:rsid w:val="005A576E"/>
    <w:rsid w:val="005A5BAC"/>
    <w:rsid w:val="005A5E73"/>
    <w:rsid w:val="005A6F95"/>
    <w:rsid w:val="005A7241"/>
    <w:rsid w:val="005A7716"/>
    <w:rsid w:val="005A7D19"/>
    <w:rsid w:val="005B2278"/>
    <w:rsid w:val="005B2490"/>
    <w:rsid w:val="005B24CF"/>
    <w:rsid w:val="005B2989"/>
    <w:rsid w:val="005B327E"/>
    <w:rsid w:val="005B32BD"/>
    <w:rsid w:val="005B405A"/>
    <w:rsid w:val="005B4D03"/>
    <w:rsid w:val="005B50E8"/>
    <w:rsid w:val="005B597D"/>
    <w:rsid w:val="005B5B16"/>
    <w:rsid w:val="005B5E85"/>
    <w:rsid w:val="005B5F06"/>
    <w:rsid w:val="005B5FF1"/>
    <w:rsid w:val="005B65B1"/>
    <w:rsid w:val="005B7046"/>
    <w:rsid w:val="005B7317"/>
    <w:rsid w:val="005B78AE"/>
    <w:rsid w:val="005B7A31"/>
    <w:rsid w:val="005B7CE0"/>
    <w:rsid w:val="005B7E40"/>
    <w:rsid w:val="005C1436"/>
    <w:rsid w:val="005C25E9"/>
    <w:rsid w:val="005C3361"/>
    <w:rsid w:val="005C33EF"/>
    <w:rsid w:val="005C3D90"/>
    <w:rsid w:val="005C44E4"/>
    <w:rsid w:val="005C4AC3"/>
    <w:rsid w:val="005C50FB"/>
    <w:rsid w:val="005C6B9C"/>
    <w:rsid w:val="005C6FA3"/>
    <w:rsid w:val="005C73EE"/>
    <w:rsid w:val="005C74EA"/>
    <w:rsid w:val="005C7C06"/>
    <w:rsid w:val="005C7F8B"/>
    <w:rsid w:val="005D0E25"/>
    <w:rsid w:val="005D0EF2"/>
    <w:rsid w:val="005D17D1"/>
    <w:rsid w:val="005D1A95"/>
    <w:rsid w:val="005D2E45"/>
    <w:rsid w:val="005D34EE"/>
    <w:rsid w:val="005D3577"/>
    <w:rsid w:val="005D3DAF"/>
    <w:rsid w:val="005D42E4"/>
    <w:rsid w:val="005D4448"/>
    <w:rsid w:val="005D4F70"/>
    <w:rsid w:val="005D4FE0"/>
    <w:rsid w:val="005D5BED"/>
    <w:rsid w:val="005D6DB2"/>
    <w:rsid w:val="005D7D79"/>
    <w:rsid w:val="005E06F4"/>
    <w:rsid w:val="005E0A9B"/>
    <w:rsid w:val="005E1501"/>
    <w:rsid w:val="005E1EC0"/>
    <w:rsid w:val="005E200F"/>
    <w:rsid w:val="005E2201"/>
    <w:rsid w:val="005E22DB"/>
    <w:rsid w:val="005E26EB"/>
    <w:rsid w:val="005E31D1"/>
    <w:rsid w:val="005E38BB"/>
    <w:rsid w:val="005E3C22"/>
    <w:rsid w:val="005E47FC"/>
    <w:rsid w:val="005E480E"/>
    <w:rsid w:val="005E5211"/>
    <w:rsid w:val="005E53E5"/>
    <w:rsid w:val="005E77C3"/>
    <w:rsid w:val="005E7BEC"/>
    <w:rsid w:val="005F0566"/>
    <w:rsid w:val="005F092A"/>
    <w:rsid w:val="005F108D"/>
    <w:rsid w:val="005F1175"/>
    <w:rsid w:val="005F20A5"/>
    <w:rsid w:val="005F2581"/>
    <w:rsid w:val="005F305A"/>
    <w:rsid w:val="005F32E7"/>
    <w:rsid w:val="005F35C0"/>
    <w:rsid w:val="005F3C76"/>
    <w:rsid w:val="005F4215"/>
    <w:rsid w:val="005F4EB1"/>
    <w:rsid w:val="005F5F0C"/>
    <w:rsid w:val="005F6704"/>
    <w:rsid w:val="005F6A10"/>
    <w:rsid w:val="005F6AD3"/>
    <w:rsid w:val="005F6B57"/>
    <w:rsid w:val="005F6F99"/>
    <w:rsid w:val="005F7355"/>
    <w:rsid w:val="005F746A"/>
    <w:rsid w:val="005F7775"/>
    <w:rsid w:val="00600150"/>
    <w:rsid w:val="00600BFA"/>
    <w:rsid w:val="00600F1F"/>
    <w:rsid w:val="006017EC"/>
    <w:rsid w:val="0060280E"/>
    <w:rsid w:val="00602DAD"/>
    <w:rsid w:val="0060345F"/>
    <w:rsid w:val="006045C6"/>
    <w:rsid w:val="00604695"/>
    <w:rsid w:val="00604FFA"/>
    <w:rsid w:val="006053E2"/>
    <w:rsid w:val="0060748F"/>
    <w:rsid w:val="006075E1"/>
    <w:rsid w:val="0060784B"/>
    <w:rsid w:val="00607D90"/>
    <w:rsid w:val="006103B2"/>
    <w:rsid w:val="0061089E"/>
    <w:rsid w:val="006111F8"/>
    <w:rsid w:val="00611B44"/>
    <w:rsid w:val="00611B47"/>
    <w:rsid w:val="00611DF9"/>
    <w:rsid w:val="00612EDE"/>
    <w:rsid w:val="0061317B"/>
    <w:rsid w:val="0061398B"/>
    <w:rsid w:val="00613E09"/>
    <w:rsid w:val="006146D3"/>
    <w:rsid w:val="00614F06"/>
    <w:rsid w:val="006159A9"/>
    <w:rsid w:val="00615C73"/>
    <w:rsid w:val="00615CD0"/>
    <w:rsid w:val="00615DE1"/>
    <w:rsid w:val="00616648"/>
    <w:rsid w:val="00616A2C"/>
    <w:rsid w:val="00616E66"/>
    <w:rsid w:val="00617CE4"/>
    <w:rsid w:val="00617DE1"/>
    <w:rsid w:val="006201C8"/>
    <w:rsid w:val="00620BC0"/>
    <w:rsid w:val="006215FE"/>
    <w:rsid w:val="00621A2C"/>
    <w:rsid w:val="00622334"/>
    <w:rsid w:val="006223A2"/>
    <w:rsid w:val="00622556"/>
    <w:rsid w:val="00622727"/>
    <w:rsid w:val="006227C6"/>
    <w:rsid w:val="006231B8"/>
    <w:rsid w:val="00624C55"/>
    <w:rsid w:val="00625357"/>
    <w:rsid w:val="00625A5F"/>
    <w:rsid w:val="006269BB"/>
    <w:rsid w:val="00627294"/>
    <w:rsid w:val="006279ED"/>
    <w:rsid w:val="00630802"/>
    <w:rsid w:val="006309B0"/>
    <w:rsid w:val="00630BD5"/>
    <w:rsid w:val="00630E63"/>
    <w:rsid w:val="00630F50"/>
    <w:rsid w:val="0063169B"/>
    <w:rsid w:val="0063258E"/>
    <w:rsid w:val="006341B6"/>
    <w:rsid w:val="0063424D"/>
    <w:rsid w:val="00635508"/>
    <w:rsid w:val="006356CC"/>
    <w:rsid w:val="00635AB0"/>
    <w:rsid w:val="00635B01"/>
    <w:rsid w:val="00635E9F"/>
    <w:rsid w:val="00635F69"/>
    <w:rsid w:val="006363E6"/>
    <w:rsid w:val="00636A09"/>
    <w:rsid w:val="00637150"/>
    <w:rsid w:val="00637C7A"/>
    <w:rsid w:val="00637E67"/>
    <w:rsid w:val="00640032"/>
    <w:rsid w:val="00641BA9"/>
    <w:rsid w:val="00641F3D"/>
    <w:rsid w:val="0064263B"/>
    <w:rsid w:val="0064332B"/>
    <w:rsid w:val="00643524"/>
    <w:rsid w:val="00643792"/>
    <w:rsid w:val="00643A0C"/>
    <w:rsid w:val="00644F87"/>
    <w:rsid w:val="00644FE9"/>
    <w:rsid w:val="00645354"/>
    <w:rsid w:val="00645530"/>
    <w:rsid w:val="006455D1"/>
    <w:rsid w:val="00645965"/>
    <w:rsid w:val="00645C1D"/>
    <w:rsid w:val="0064601D"/>
    <w:rsid w:val="00646E5A"/>
    <w:rsid w:val="00650286"/>
    <w:rsid w:val="006502B0"/>
    <w:rsid w:val="006504FF"/>
    <w:rsid w:val="00650865"/>
    <w:rsid w:val="006513A6"/>
    <w:rsid w:val="0065183C"/>
    <w:rsid w:val="00651A44"/>
    <w:rsid w:val="00651F36"/>
    <w:rsid w:val="00652153"/>
    <w:rsid w:val="00653071"/>
    <w:rsid w:val="006530AD"/>
    <w:rsid w:val="0065358D"/>
    <w:rsid w:val="006535C5"/>
    <w:rsid w:val="00653A40"/>
    <w:rsid w:val="00653E54"/>
    <w:rsid w:val="00654BE5"/>
    <w:rsid w:val="00655A00"/>
    <w:rsid w:val="00655CD1"/>
    <w:rsid w:val="00655E46"/>
    <w:rsid w:val="00656492"/>
    <w:rsid w:val="00656DF4"/>
    <w:rsid w:val="00656F2E"/>
    <w:rsid w:val="0065725B"/>
    <w:rsid w:val="00657476"/>
    <w:rsid w:val="00657854"/>
    <w:rsid w:val="00657869"/>
    <w:rsid w:val="00657DB5"/>
    <w:rsid w:val="006606BC"/>
    <w:rsid w:val="00661087"/>
    <w:rsid w:val="00661816"/>
    <w:rsid w:val="00662185"/>
    <w:rsid w:val="00662DB2"/>
    <w:rsid w:val="00662EED"/>
    <w:rsid w:val="006631F5"/>
    <w:rsid w:val="00663957"/>
    <w:rsid w:val="00663EF7"/>
    <w:rsid w:val="00664D02"/>
    <w:rsid w:val="0066595E"/>
    <w:rsid w:val="00665D9C"/>
    <w:rsid w:val="00666284"/>
    <w:rsid w:val="0066664E"/>
    <w:rsid w:val="00666B6D"/>
    <w:rsid w:val="00666D9D"/>
    <w:rsid w:val="0066701B"/>
    <w:rsid w:val="0066702F"/>
    <w:rsid w:val="0067099A"/>
    <w:rsid w:val="0067235B"/>
    <w:rsid w:val="00672462"/>
    <w:rsid w:val="0067277E"/>
    <w:rsid w:val="00672BFF"/>
    <w:rsid w:val="0067313A"/>
    <w:rsid w:val="0067334C"/>
    <w:rsid w:val="0067472C"/>
    <w:rsid w:val="00674B5B"/>
    <w:rsid w:val="00680885"/>
    <w:rsid w:val="0068088A"/>
    <w:rsid w:val="00680DD5"/>
    <w:rsid w:val="00680EE1"/>
    <w:rsid w:val="00681F80"/>
    <w:rsid w:val="00683685"/>
    <w:rsid w:val="00683BD3"/>
    <w:rsid w:val="00685B4C"/>
    <w:rsid w:val="00685F2D"/>
    <w:rsid w:val="00686A5B"/>
    <w:rsid w:val="00686D2C"/>
    <w:rsid w:val="0069189D"/>
    <w:rsid w:val="00691EAE"/>
    <w:rsid w:val="00692C69"/>
    <w:rsid w:val="0069308F"/>
    <w:rsid w:val="006935CB"/>
    <w:rsid w:val="006937C1"/>
    <w:rsid w:val="00693F68"/>
    <w:rsid w:val="00694685"/>
    <w:rsid w:val="00695051"/>
    <w:rsid w:val="006952CA"/>
    <w:rsid w:val="00696051"/>
    <w:rsid w:val="00696813"/>
    <w:rsid w:val="006971D2"/>
    <w:rsid w:val="0069786D"/>
    <w:rsid w:val="006A0254"/>
    <w:rsid w:val="006A0933"/>
    <w:rsid w:val="006A13C9"/>
    <w:rsid w:val="006A141B"/>
    <w:rsid w:val="006A16B3"/>
    <w:rsid w:val="006A2122"/>
    <w:rsid w:val="006A2503"/>
    <w:rsid w:val="006A2BEE"/>
    <w:rsid w:val="006A2D3D"/>
    <w:rsid w:val="006A3023"/>
    <w:rsid w:val="006A470C"/>
    <w:rsid w:val="006A478C"/>
    <w:rsid w:val="006A5045"/>
    <w:rsid w:val="006A5446"/>
    <w:rsid w:val="006A5856"/>
    <w:rsid w:val="006A689C"/>
    <w:rsid w:val="006A68EF"/>
    <w:rsid w:val="006A7310"/>
    <w:rsid w:val="006A7739"/>
    <w:rsid w:val="006B15F6"/>
    <w:rsid w:val="006B1A6B"/>
    <w:rsid w:val="006B1A97"/>
    <w:rsid w:val="006B1FA6"/>
    <w:rsid w:val="006B2007"/>
    <w:rsid w:val="006B221F"/>
    <w:rsid w:val="006B2281"/>
    <w:rsid w:val="006B352E"/>
    <w:rsid w:val="006B3A84"/>
    <w:rsid w:val="006B3AEE"/>
    <w:rsid w:val="006B4385"/>
    <w:rsid w:val="006B4F02"/>
    <w:rsid w:val="006B5BE7"/>
    <w:rsid w:val="006B609D"/>
    <w:rsid w:val="006B6623"/>
    <w:rsid w:val="006B6B2D"/>
    <w:rsid w:val="006B6B8C"/>
    <w:rsid w:val="006B6D12"/>
    <w:rsid w:val="006B7316"/>
    <w:rsid w:val="006B7614"/>
    <w:rsid w:val="006B7AE2"/>
    <w:rsid w:val="006C15D8"/>
    <w:rsid w:val="006C16D9"/>
    <w:rsid w:val="006C1B6D"/>
    <w:rsid w:val="006C1E46"/>
    <w:rsid w:val="006C1EFC"/>
    <w:rsid w:val="006C3233"/>
    <w:rsid w:val="006C37B6"/>
    <w:rsid w:val="006C4DF3"/>
    <w:rsid w:val="006C4F17"/>
    <w:rsid w:val="006C55AF"/>
    <w:rsid w:val="006C593B"/>
    <w:rsid w:val="006C6267"/>
    <w:rsid w:val="006C6311"/>
    <w:rsid w:val="006C70B9"/>
    <w:rsid w:val="006C7265"/>
    <w:rsid w:val="006D070C"/>
    <w:rsid w:val="006D0744"/>
    <w:rsid w:val="006D0C72"/>
    <w:rsid w:val="006D0F8B"/>
    <w:rsid w:val="006D1068"/>
    <w:rsid w:val="006D1173"/>
    <w:rsid w:val="006D1D59"/>
    <w:rsid w:val="006D348C"/>
    <w:rsid w:val="006D38F1"/>
    <w:rsid w:val="006D3C83"/>
    <w:rsid w:val="006D41A8"/>
    <w:rsid w:val="006D52E6"/>
    <w:rsid w:val="006D5BCB"/>
    <w:rsid w:val="006D5FDB"/>
    <w:rsid w:val="006D686D"/>
    <w:rsid w:val="006D7080"/>
    <w:rsid w:val="006D7F3C"/>
    <w:rsid w:val="006E02FA"/>
    <w:rsid w:val="006E0B1A"/>
    <w:rsid w:val="006E11CC"/>
    <w:rsid w:val="006E1596"/>
    <w:rsid w:val="006E267B"/>
    <w:rsid w:val="006E2EDA"/>
    <w:rsid w:val="006E4DB1"/>
    <w:rsid w:val="006E5942"/>
    <w:rsid w:val="006E5F9F"/>
    <w:rsid w:val="006E6066"/>
    <w:rsid w:val="006E6166"/>
    <w:rsid w:val="006E6998"/>
    <w:rsid w:val="006E6BBB"/>
    <w:rsid w:val="006F1AE2"/>
    <w:rsid w:val="006F2274"/>
    <w:rsid w:val="006F239A"/>
    <w:rsid w:val="006F34BA"/>
    <w:rsid w:val="006F35EC"/>
    <w:rsid w:val="006F4203"/>
    <w:rsid w:val="006F5056"/>
    <w:rsid w:val="006F5949"/>
    <w:rsid w:val="006F599E"/>
    <w:rsid w:val="006F6EBB"/>
    <w:rsid w:val="007002CE"/>
    <w:rsid w:val="007004E9"/>
    <w:rsid w:val="007009D8"/>
    <w:rsid w:val="00701ECC"/>
    <w:rsid w:val="00702495"/>
    <w:rsid w:val="0070336D"/>
    <w:rsid w:val="00705097"/>
    <w:rsid w:val="00705399"/>
    <w:rsid w:val="00705669"/>
    <w:rsid w:val="007059F2"/>
    <w:rsid w:val="00705FFE"/>
    <w:rsid w:val="00706164"/>
    <w:rsid w:val="007065D4"/>
    <w:rsid w:val="00706C89"/>
    <w:rsid w:val="00706FAB"/>
    <w:rsid w:val="0070726A"/>
    <w:rsid w:val="007073D0"/>
    <w:rsid w:val="007103A5"/>
    <w:rsid w:val="00710B4E"/>
    <w:rsid w:val="007112A5"/>
    <w:rsid w:val="00712F6B"/>
    <w:rsid w:val="007145EB"/>
    <w:rsid w:val="007156C2"/>
    <w:rsid w:val="00715EE3"/>
    <w:rsid w:val="00716337"/>
    <w:rsid w:val="00717373"/>
    <w:rsid w:val="00717D00"/>
    <w:rsid w:val="00717FDA"/>
    <w:rsid w:val="00720442"/>
    <w:rsid w:val="0072292A"/>
    <w:rsid w:val="00722CCA"/>
    <w:rsid w:val="00723AA5"/>
    <w:rsid w:val="00723C4D"/>
    <w:rsid w:val="007241A3"/>
    <w:rsid w:val="00724659"/>
    <w:rsid w:val="00724A49"/>
    <w:rsid w:val="0072601A"/>
    <w:rsid w:val="00726457"/>
    <w:rsid w:val="00726464"/>
    <w:rsid w:val="0072699F"/>
    <w:rsid w:val="00726F10"/>
    <w:rsid w:val="00726F9F"/>
    <w:rsid w:val="00727738"/>
    <w:rsid w:val="00727918"/>
    <w:rsid w:val="007302BF"/>
    <w:rsid w:val="00731C17"/>
    <w:rsid w:val="00731D48"/>
    <w:rsid w:val="0073255D"/>
    <w:rsid w:val="0073264D"/>
    <w:rsid w:val="00733354"/>
    <w:rsid w:val="00735164"/>
    <w:rsid w:val="00735D55"/>
    <w:rsid w:val="00736D5B"/>
    <w:rsid w:val="007374E2"/>
    <w:rsid w:val="00737802"/>
    <w:rsid w:val="0074053C"/>
    <w:rsid w:val="007411B8"/>
    <w:rsid w:val="007415BC"/>
    <w:rsid w:val="00741AFC"/>
    <w:rsid w:val="0074201C"/>
    <w:rsid w:val="00742359"/>
    <w:rsid w:val="007424AB"/>
    <w:rsid w:val="00742668"/>
    <w:rsid w:val="007427BD"/>
    <w:rsid w:val="00742BA4"/>
    <w:rsid w:val="00743841"/>
    <w:rsid w:val="00743847"/>
    <w:rsid w:val="0074386D"/>
    <w:rsid w:val="00744632"/>
    <w:rsid w:val="00745087"/>
    <w:rsid w:val="00745D54"/>
    <w:rsid w:val="007467C6"/>
    <w:rsid w:val="00747331"/>
    <w:rsid w:val="007474F3"/>
    <w:rsid w:val="007479D8"/>
    <w:rsid w:val="00747BEA"/>
    <w:rsid w:val="00747CA2"/>
    <w:rsid w:val="007505A8"/>
    <w:rsid w:val="00751B50"/>
    <w:rsid w:val="00751B95"/>
    <w:rsid w:val="00752243"/>
    <w:rsid w:val="00752DDA"/>
    <w:rsid w:val="00753386"/>
    <w:rsid w:val="00754EBF"/>
    <w:rsid w:val="00755458"/>
    <w:rsid w:val="007555ED"/>
    <w:rsid w:val="0075580B"/>
    <w:rsid w:val="00756046"/>
    <w:rsid w:val="007561A9"/>
    <w:rsid w:val="00757313"/>
    <w:rsid w:val="00757378"/>
    <w:rsid w:val="00757879"/>
    <w:rsid w:val="007606AD"/>
    <w:rsid w:val="00760EDE"/>
    <w:rsid w:val="007611DA"/>
    <w:rsid w:val="00761480"/>
    <w:rsid w:val="00761DBB"/>
    <w:rsid w:val="00762E6E"/>
    <w:rsid w:val="00762FA3"/>
    <w:rsid w:val="00763269"/>
    <w:rsid w:val="007633F8"/>
    <w:rsid w:val="00763DB1"/>
    <w:rsid w:val="007657CA"/>
    <w:rsid w:val="007657EA"/>
    <w:rsid w:val="0076637B"/>
    <w:rsid w:val="00766D5A"/>
    <w:rsid w:val="007671F4"/>
    <w:rsid w:val="007675EC"/>
    <w:rsid w:val="00770BC9"/>
    <w:rsid w:val="0077183F"/>
    <w:rsid w:val="007723DE"/>
    <w:rsid w:val="00773343"/>
    <w:rsid w:val="00773613"/>
    <w:rsid w:val="00773994"/>
    <w:rsid w:val="00773E0F"/>
    <w:rsid w:val="00773EBD"/>
    <w:rsid w:val="007751A1"/>
    <w:rsid w:val="0077524B"/>
    <w:rsid w:val="0077560E"/>
    <w:rsid w:val="00775A07"/>
    <w:rsid w:val="00777104"/>
    <w:rsid w:val="007800F2"/>
    <w:rsid w:val="007814AD"/>
    <w:rsid w:val="00781636"/>
    <w:rsid w:val="007824F5"/>
    <w:rsid w:val="00783184"/>
    <w:rsid w:val="00783A49"/>
    <w:rsid w:val="0078525E"/>
    <w:rsid w:val="007852E5"/>
    <w:rsid w:val="0078586D"/>
    <w:rsid w:val="00787467"/>
    <w:rsid w:val="00787B96"/>
    <w:rsid w:val="00787CEB"/>
    <w:rsid w:val="0079081F"/>
    <w:rsid w:val="0079106A"/>
    <w:rsid w:val="00791EDD"/>
    <w:rsid w:val="00792D2B"/>
    <w:rsid w:val="00793316"/>
    <w:rsid w:val="00793D18"/>
    <w:rsid w:val="00793E5C"/>
    <w:rsid w:val="00795860"/>
    <w:rsid w:val="007959DD"/>
    <w:rsid w:val="00795CF4"/>
    <w:rsid w:val="00797223"/>
    <w:rsid w:val="00797251"/>
    <w:rsid w:val="0079729D"/>
    <w:rsid w:val="00797AD3"/>
    <w:rsid w:val="007A0C03"/>
    <w:rsid w:val="007A0C04"/>
    <w:rsid w:val="007A0C73"/>
    <w:rsid w:val="007A10C8"/>
    <w:rsid w:val="007A257F"/>
    <w:rsid w:val="007A2D8E"/>
    <w:rsid w:val="007A3315"/>
    <w:rsid w:val="007A373A"/>
    <w:rsid w:val="007A3772"/>
    <w:rsid w:val="007A3793"/>
    <w:rsid w:val="007A3AC1"/>
    <w:rsid w:val="007A4AB0"/>
    <w:rsid w:val="007A4E56"/>
    <w:rsid w:val="007A4ED3"/>
    <w:rsid w:val="007A5A63"/>
    <w:rsid w:val="007A63FB"/>
    <w:rsid w:val="007A7123"/>
    <w:rsid w:val="007B0159"/>
    <w:rsid w:val="007B06CB"/>
    <w:rsid w:val="007B0797"/>
    <w:rsid w:val="007B088F"/>
    <w:rsid w:val="007B0A4E"/>
    <w:rsid w:val="007B1A37"/>
    <w:rsid w:val="007B2CAF"/>
    <w:rsid w:val="007B3401"/>
    <w:rsid w:val="007B37B3"/>
    <w:rsid w:val="007B41EA"/>
    <w:rsid w:val="007B49A0"/>
    <w:rsid w:val="007B4C15"/>
    <w:rsid w:val="007B4E59"/>
    <w:rsid w:val="007B4E8B"/>
    <w:rsid w:val="007B6546"/>
    <w:rsid w:val="007B65E3"/>
    <w:rsid w:val="007B68C7"/>
    <w:rsid w:val="007B6D2F"/>
    <w:rsid w:val="007B759F"/>
    <w:rsid w:val="007B79F2"/>
    <w:rsid w:val="007B7A52"/>
    <w:rsid w:val="007B7B10"/>
    <w:rsid w:val="007C03E4"/>
    <w:rsid w:val="007C073F"/>
    <w:rsid w:val="007C07C4"/>
    <w:rsid w:val="007C0FD9"/>
    <w:rsid w:val="007C11B6"/>
    <w:rsid w:val="007C1920"/>
    <w:rsid w:val="007C1ED3"/>
    <w:rsid w:val="007C2832"/>
    <w:rsid w:val="007C2852"/>
    <w:rsid w:val="007C30F1"/>
    <w:rsid w:val="007C43EA"/>
    <w:rsid w:val="007C4800"/>
    <w:rsid w:val="007C5C74"/>
    <w:rsid w:val="007C629A"/>
    <w:rsid w:val="007D0516"/>
    <w:rsid w:val="007D0B9D"/>
    <w:rsid w:val="007D169C"/>
    <w:rsid w:val="007D1AAE"/>
    <w:rsid w:val="007D22A7"/>
    <w:rsid w:val="007D2423"/>
    <w:rsid w:val="007D2CC4"/>
    <w:rsid w:val="007D2CCA"/>
    <w:rsid w:val="007D4118"/>
    <w:rsid w:val="007D4E2A"/>
    <w:rsid w:val="007D53AF"/>
    <w:rsid w:val="007D5477"/>
    <w:rsid w:val="007D58A1"/>
    <w:rsid w:val="007D5CF0"/>
    <w:rsid w:val="007E0E84"/>
    <w:rsid w:val="007E16FD"/>
    <w:rsid w:val="007E1FDD"/>
    <w:rsid w:val="007E24B3"/>
    <w:rsid w:val="007E2692"/>
    <w:rsid w:val="007E2B6D"/>
    <w:rsid w:val="007E3287"/>
    <w:rsid w:val="007E3423"/>
    <w:rsid w:val="007E38CC"/>
    <w:rsid w:val="007E3F84"/>
    <w:rsid w:val="007E5040"/>
    <w:rsid w:val="007E5178"/>
    <w:rsid w:val="007E5CCB"/>
    <w:rsid w:val="007E61EB"/>
    <w:rsid w:val="007E6E92"/>
    <w:rsid w:val="007E6EE2"/>
    <w:rsid w:val="007E7120"/>
    <w:rsid w:val="007F17E6"/>
    <w:rsid w:val="007F1EC7"/>
    <w:rsid w:val="007F31E1"/>
    <w:rsid w:val="007F3313"/>
    <w:rsid w:val="007F4286"/>
    <w:rsid w:val="007F4EAB"/>
    <w:rsid w:val="007F63CA"/>
    <w:rsid w:val="007F6F59"/>
    <w:rsid w:val="007F79EE"/>
    <w:rsid w:val="0080017C"/>
    <w:rsid w:val="00800CD2"/>
    <w:rsid w:val="00800DE1"/>
    <w:rsid w:val="008015E2"/>
    <w:rsid w:val="0080160A"/>
    <w:rsid w:val="00801EDF"/>
    <w:rsid w:val="0080258C"/>
    <w:rsid w:val="008025A5"/>
    <w:rsid w:val="008028FF"/>
    <w:rsid w:val="00802C97"/>
    <w:rsid w:val="0080307B"/>
    <w:rsid w:val="008031F4"/>
    <w:rsid w:val="00803F7C"/>
    <w:rsid w:val="00804BC5"/>
    <w:rsid w:val="008050F1"/>
    <w:rsid w:val="008057E9"/>
    <w:rsid w:val="0080610B"/>
    <w:rsid w:val="00806440"/>
    <w:rsid w:val="00806EB7"/>
    <w:rsid w:val="00807214"/>
    <w:rsid w:val="008078C2"/>
    <w:rsid w:val="008079B1"/>
    <w:rsid w:val="00810898"/>
    <w:rsid w:val="00811AE9"/>
    <w:rsid w:val="0081234A"/>
    <w:rsid w:val="00812C10"/>
    <w:rsid w:val="0081330E"/>
    <w:rsid w:val="00813BDE"/>
    <w:rsid w:val="00813D51"/>
    <w:rsid w:val="00814C44"/>
    <w:rsid w:val="00814D21"/>
    <w:rsid w:val="00815833"/>
    <w:rsid w:val="00817B00"/>
    <w:rsid w:val="00820274"/>
    <w:rsid w:val="0082072B"/>
    <w:rsid w:val="008209CB"/>
    <w:rsid w:val="0082105B"/>
    <w:rsid w:val="0082140E"/>
    <w:rsid w:val="00822438"/>
    <w:rsid w:val="00822D22"/>
    <w:rsid w:val="00823C7E"/>
    <w:rsid w:val="008244D1"/>
    <w:rsid w:val="00824D47"/>
    <w:rsid w:val="00825DFC"/>
    <w:rsid w:val="0082641F"/>
    <w:rsid w:val="00826B6C"/>
    <w:rsid w:val="0082739B"/>
    <w:rsid w:val="008305DF"/>
    <w:rsid w:val="00830A61"/>
    <w:rsid w:val="00830E79"/>
    <w:rsid w:val="0083198C"/>
    <w:rsid w:val="00831DBF"/>
    <w:rsid w:val="008323A5"/>
    <w:rsid w:val="00833C59"/>
    <w:rsid w:val="008348DC"/>
    <w:rsid w:val="00835E7F"/>
    <w:rsid w:val="00836A62"/>
    <w:rsid w:val="008377D8"/>
    <w:rsid w:val="00837E79"/>
    <w:rsid w:val="0084073F"/>
    <w:rsid w:val="00840A19"/>
    <w:rsid w:val="0084186A"/>
    <w:rsid w:val="00842E61"/>
    <w:rsid w:val="00844437"/>
    <w:rsid w:val="008447F3"/>
    <w:rsid w:val="008452C1"/>
    <w:rsid w:val="008458FB"/>
    <w:rsid w:val="008466DF"/>
    <w:rsid w:val="00847CCC"/>
    <w:rsid w:val="00850B6A"/>
    <w:rsid w:val="00850CEE"/>
    <w:rsid w:val="00851126"/>
    <w:rsid w:val="008518CF"/>
    <w:rsid w:val="00851900"/>
    <w:rsid w:val="00852FA2"/>
    <w:rsid w:val="008531A4"/>
    <w:rsid w:val="0085422D"/>
    <w:rsid w:val="00854DFB"/>
    <w:rsid w:val="00855002"/>
    <w:rsid w:val="00855161"/>
    <w:rsid w:val="008556F2"/>
    <w:rsid w:val="0085596E"/>
    <w:rsid w:val="008565CF"/>
    <w:rsid w:val="008566C2"/>
    <w:rsid w:val="00856898"/>
    <w:rsid w:val="00856F7F"/>
    <w:rsid w:val="00856FC6"/>
    <w:rsid w:val="00857107"/>
    <w:rsid w:val="008610A0"/>
    <w:rsid w:val="00861EB1"/>
    <w:rsid w:val="00862198"/>
    <w:rsid w:val="00862266"/>
    <w:rsid w:val="0086232E"/>
    <w:rsid w:val="00862EE7"/>
    <w:rsid w:val="008639F4"/>
    <w:rsid w:val="00863A88"/>
    <w:rsid w:val="00863C51"/>
    <w:rsid w:val="008642A0"/>
    <w:rsid w:val="0086491C"/>
    <w:rsid w:val="00864CAF"/>
    <w:rsid w:val="00864DB3"/>
    <w:rsid w:val="00865EFC"/>
    <w:rsid w:val="00866185"/>
    <w:rsid w:val="008665DF"/>
    <w:rsid w:val="0086742A"/>
    <w:rsid w:val="00867430"/>
    <w:rsid w:val="00867936"/>
    <w:rsid w:val="00867AE5"/>
    <w:rsid w:val="00867E5F"/>
    <w:rsid w:val="008706B6"/>
    <w:rsid w:val="00870D8A"/>
    <w:rsid w:val="008716F9"/>
    <w:rsid w:val="00871CED"/>
    <w:rsid w:val="008721FD"/>
    <w:rsid w:val="008724FE"/>
    <w:rsid w:val="00873933"/>
    <w:rsid w:val="00873A02"/>
    <w:rsid w:val="00873C1F"/>
    <w:rsid w:val="00874676"/>
    <w:rsid w:val="00875539"/>
    <w:rsid w:val="008756C6"/>
    <w:rsid w:val="00875F41"/>
    <w:rsid w:val="0087677D"/>
    <w:rsid w:val="00876841"/>
    <w:rsid w:val="00876A47"/>
    <w:rsid w:val="00876AEC"/>
    <w:rsid w:val="00876B67"/>
    <w:rsid w:val="00876D99"/>
    <w:rsid w:val="00877CB0"/>
    <w:rsid w:val="00880F43"/>
    <w:rsid w:val="008834FD"/>
    <w:rsid w:val="00883D1C"/>
    <w:rsid w:val="00886CB5"/>
    <w:rsid w:val="0088716A"/>
    <w:rsid w:val="00890AA5"/>
    <w:rsid w:val="008915F1"/>
    <w:rsid w:val="0089194F"/>
    <w:rsid w:val="00892235"/>
    <w:rsid w:val="008928CB"/>
    <w:rsid w:val="00892BDD"/>
    <w:rsid w:val="008946EA"/>
    <w:rsid w:val="00894FD7"/>
    <w:rsid w:val="0089624A"/>
    <w:rsid w:val="00896D8C"/>
    <w:rsid w:val="008975A2"/>
    <w:rsid w:val="00897FA5"/>
    <w:rsid w:val="008A0511"/>
    <w:rsid w:val="008A14A0"/>
    <w:rsid w:val="008A183F"/>
    <w:rsid w:val="008A2D5C"/>
    <w:rsid w:val="008A38C9"/>
    <w:rsid w:val="008A4149"/>
    <w:rsid w:val="008A4168"/>
    <w:rsid w:val="008A4795"/>
    <w:rsid w:val="008A4A02"/>
    <w:rsid w:val="008A532D"/>
    <w:rsid w:val="008A5BB2"/>
    <w:rsid w:val="008A5D54"/>
    <w:rsid w:val="008A6688"/>
    <w:rsid w:val="008A6F0E"/>
    <w:rsid w:val="008B04E8"/>
    <w:rsid w:val="008B0B60"/>
    <w:rsid w:val="008B0E86"/>
    <w:rsid w:val="008B170F"/>
    <w:rsid w:val="008B1893"/>
    <w:rsid w:val="008B1ED9"/>
    <w:rsid w:val="008B39D7"/>
    <w:rsid w:val="008B4280"/>
    <w:rsid w:val="008B53AA"/>
    <w:rsid w:val="008B6188"/>
    <w:rsid w:val="008B68CB"/>
    <w:rsid w:val="008B6907"/>
    <w:rsid w:val="008B69F1"/>
    <w:rsid w:val="008B743B"/>
    <w:rsid w:val="008C05E8"/>
    <w:rsid w:val="008C0646"/>
    <w:rsid w:val="008C0F31"/>
    <w:rsid w:val="008C10F0"/>
    <w:rsid w:val="008C1D94"/>
    <w:rsid w:val="008C2C51"/>
    <w:rsid w:val="008C3459"/>
    <w:rsid w:val="008C3534"/>
    <w:rsid w:val="008C36FB"/>
    <w:rsid w:val="008C4059"/>
    <w:rsid w:val="008C5187"/>
    <w:rsid w:val="008C65E0"/>
    <w:rsid w:val="008C687E"/>
    <w:rsid w:val="008C6F20"/>
    <w:rsid w:val="008C7584"/>
    <w:rsid w:val="008C7BE2"/>
    <w:rsid w:val="008C7F0C"/>
    <w:rsid w:val="008D00F9"/>
    <w:rsid w:val="008D02EF"/>
    <w:rsid w:val="008D0FCF"/>
    <w:rsid w:val="008D11CE"/>
    <w:rsid w:val="008D1620"/>
    <w:rsid w:val="008D167E"/>
    <w:rsid w:val="008D24EF"/>
    <w:rsid w:val="008D2709"/>
    <w:rsid w:val="008D379F"/>
    <w:rsid w:val="008D3AE9"/>
    <w:rsid w:val="008D489F"/>
    <w:rsid w:val="008D59FE"/>
    <w:rsid w:val="008D62DF"/>
    <w:rsid w:val="008E027F"/>
    <w:rsid w:val="008E04C3"/>
    <w:rsid w:val="008E1452"/>
    <w:rsid w:val="008E1A75"/>
    <w:rsid w:val="008E1CC5"/>
    <w:rsid w:val="008E4024"/>
    <w:rsid w:val="008E5643"/>
    <w:rsid w:val="008E5ADE"/>
    <w:rsid w:val="008E6A39"/>
    <w:rsid w:val="008E6E76"/>
    <w:rsid w:val="008E77BE"/>
    <w:rsid w:val="008E7F4F"/>
    <w:rsid w:val="008F05BB"/>
    <w:rsid w:val="008F0A8A"/>
    <w:rsid w:val="008F0C70"/>
    <w:rsid w:val="008F2264"/>
    <w:rsid w:val="008F30B5"/>
    <w:rsid w:val="008F32C2"/>
    <w:rsid w:val="008F3CC1"/>
    <w:rsid w:val="008F4788"/>
    <w:rsid w:val="008F5CB6"/>
    <w:rsid w:val="008F620A"/>
    <w:rsid w:val="008F783A"/>
    <w:rsid w:val="008F7F01"/>
    <w:rsid w:val="008F7FAD"/>
    <w:rsid w:val="008F7FDB"/>
    <w:rsid w:val="009004C2"/>
    <w:rsid w:val="00900688"/>
    <w:rsid w:val="0090102A"/>
    <w:rsid w:val="009014CB"/>
    <w:rsid w:val="00901611"/>
    <w:rsid w:val="009021C9"/>
    <w:rsid w:val="00902A0B"/>
    <w:rsid w:val="00902ACA"/>
    <w:rsid w:val="00904499"/>
    <w:rsid w:val="00904866"/>
    <w:rsid w:val="00905CC1"/>
    <w:rsid w:val="00906C9C"/>
    <w:rsid w:val="00906E24"/>
    <w:rsid w:val="00906EBE"/>
    <w:rsid w:val="009076BC"/>
    <w:rsid w:val="00910655"/>
    <w:rsid w:val="00910B79"/>
    <w:rsid w:val="00910BC9"/>
    <w:rsid w:val="0091101C"/>
    <w:rsid w:val="00911AF3"/>
    <w:rsid w:val="00911BF9"/>
    <w:rsid w:val="00911F5B"/>
    <w:rsid w:val="00912152"/>
    <w:rsid w:val="00912512"/>
    <w:rsid w:val="00912954"/>
    <w:rsid w:val="0091304E"/>
    <w:rsid w:val="00913410"/>
    <w:rsid w:val="00913720"/>
    <w:rsid w:val="009137CF"/>
    <w:rsid w:val="009142B7"/>
    <w:rsid w:val="00915C9A"/>
    <w:rsid w:val="00916047"/>
    <w:rsid w:val="009161C2"/>
    <w:rsid w:val="0091645F"/>
    <w:rsid w:val="009167B1"/>
    <w:rsid w:val="009167B5"/>
    <w:rsid w:val="009167C7"/>
    <w:rsid w:val="00916EF3"/>
    <w:rsid w:val="00916EF4"/>
    <w:rsid w:val="009201AE"/>
    <w:rsid w:val="00920496"/>
    <w:rsid w:val="00920D37"/>
    <w:rsid w:val="00921322"/>
    <w:rsid w:val="00922FEA"/>
    <w:rsid w:val="0092353D"/>
    <w:rsid w:val="00924239"/>
    <w:rsid w:val="00924E63"/>
    <w:rsid w:val="00924E99"/>
    <w:rsid w:val="009251F6"/>
    <w:rsid w:val="00925302"/>
    <w:rsid w:val="009259A4"/>
    <w:rsid w:val="00926B35"/>
    <w:rsid w:val="009273F9"/>
    <w:rsid w:val="00927B41"/>
    <w:rsid w:val="009304C1"/>
    <w:rsid w:val="00930901"/>
    <w:rsid w:val="00930D31"/>
    <w:rsid w:val="00932ED7"/>
    <w:rsid w:val="0093306F"/>
    <w:rsid w:val="00933754"/>
    <w:rsid w:val="0093382C"/>
    <w:rsid w:val="00933C2C"/>
    <w:rsid w:val="00934542"/>
    <w:rsid w:val="00935421"/>
    <w:rsid w:val="00935995"/>
    <w:rsid w:val="00935E81"/>
    <w:rsid w:val="0093672C"/>
    <w:rsid w:val="0093690B"/>
    <w:rsid w:val="009369C7"/>
    <w:rsid w:val="00937555"/>
    <w:rsid w:val="00937B45"/>
    <w:rsid w:val="00937E19"/>
    <w:rsid w:val="00937F25"/>
    <w:rsid w:val="00940097"/>
    <w:rsid w:val="00940BBC"/>
    <w:rsid w:val="0094158C"/>
    <w:rsid w:val="009419F2"/>
    <w:rsid w:val="009429FF"/>
    <w:rsid w:val="00942A30"/>
    <w:rsid w:val="00943702"/>
    <w:rsid w:val="009438F1"/>
    <w:rsid w:val="00943CCF"/>
    <w:rsid w:val="00943D85"/>
    <w:rsid w:val="00945459"/>
    <w:rsid w:val="00945A83"/>
    <w:rsid w:val="00946583"/>
    <w:rsid w:val="00946A4A"/>
    <w:rsid w:val="00946BA3"/>
    <w:rsid w:val="009503C5"/>
    <w:rsid w:val="0095234C"/>
    <w:rsid w:val="0095284B"/>
    <w:rsid w:val="00953CF2"/>
    <w:rsid w:val="0095448B"/>
    <w:rsid w:val="009552D9"/>
    <w:rsid w:val="00955DE9"/>
    <w:rsid w:val="009563C2"/>
    <w:rsid w:val="009564CC"/>
    <w:rsid w:val="009579FF"/>
    <w:rsid w:val="0096208A"/>
    <w:rsid w:val="00962097"/>
    <w:rsid w:val="009620AE"/>
    <w:rsid w:val="00962421"/>
    <w:rsid w:val="009625FD"/>
    <w:rsid w:val="00963EFC"/>
    <w:rsid w:val="00965018"/>
    <w:rsid w:val="00965745"/>
    <w:rsid w:val="009658AD"/>
    <w:rsid w:val="00965975"/>
    <w:rsid w:val="00965D25"/>
    <w:rsid w:val="00966602"/>
    <w:rsid w:val="00967043"/>
    <w:rsid w:val="00967109"/>
    <w:rsid w:val="00967281"/>
    <w:rsid w:val="00967375"/>
    <w:rsid w:val="00967651"/>
    <w:rsid w:val="009700A8"/>
    <w:rsid w:val="00970476"/>
    <w:rsid w:val="00970BE4"/>
    <w:rsid w:val="0097165D"/>
    <w:rsid w:val="00971AA0"/>
    <w:rsid w:val="00971E32"/>
    <w:rsid w:val="0097343D"/>
    <w:rsid w:val="00973729"/>
    <w:rsid w:val="009743AF"/>
    <w:rsid w:val="00974719"/>
    <w:rsid w:val="00974864"/>
    <w:rsid w:val="00974C62"/>
    <w:rsid w:val="009751CF"/>
    <w:rsid w:val="009756D8"/>
    <w:rsid w:val="00975C83"/>
    <w:rsid w:val="00976013"/>
    <w:rsid w:val="009763DA"/>
    <w:rsid w:val="00976994"/>
    <w:rsid w:val="0097785F"/>
    <w:rsid w:val="00980657"/>
    <w:rsid w:val="0098252D"/>
    <w:rsid w:val="009826C0"/>
    <w:rsid w:val="00982D67"/>
    <w:rsid w:val="00983F28"/>
    <w:rsid w:val="00983FDB"/>
    <w:rsid w:val="0098466A"/>
    <w:rsid w:val="00985428"/>
    <w:rsid w:val="00985652"/>
    <w:rsid w:val="00985A4E"/>
    <w:rsid w:val="00986236"/>
    <w:rsid w:val="00986444"/>
    <w:rsid w:val="00986C5F"/>
    <w:rsid w:val="009874DB"/>
    <w:rsid w:val="009877B7"/>
    <w:rsid w:val="009905CF"/>
    <w:rsid w:val="00990A24"/>
    <w:rsid w:val="00991065"/>
    <w:rsid w:val="00991253"/>
    <w:rsid w:val="009914BC"/>
    <w:rsid w:val="00991868"/>
    <w:rsid w:val="009927D1"/>
    <w:rsid w:val="00992BFB"/>
    <w:rsid w:val="00994B2E"/>
    <w:rsid w:val="00994F91"/>
    <w:rsid w:val="00995766"/>
    <w:rsid w:val="00995795"/>
    <w:rsid w:val="009959EA"/>
    <w:rsid w:val="00995D8C"/>
    <w:rsid w:val="00995DA4"/>
    <w:rsid w:val="00996625"/>
    <w:rsid w:val="009977C2"/>
    <w:rsid w:val="00997CB6"/>
    <w:rsid w:val="009A0CF3"/>
    <w:rsid w:val="009A1021"/>
    <w:rsid w:val="009A1C39"/>
    <w:rsid w:val="009A1D52"/>
    <w:rsid w:val="009A26BF"/>
    <w:rsid w:val="009A2800"/>
    <w:rsid w:val="009A28BE"/>
    <w:rsid w:val="009A38D7"/>
    <w:rsid w:val="009A3D5E"/>
    <w:rsid w:val="009A41BF"/>
    <w:rsid w:val="009A6221"/>
    <w:rsid w:val="009A6375"/>
    <w:rsid w:val="009A7334"/>
    <w:rsid w:val="009B066A"/>
    <w:rsid w:val="009B09BF"/>
    <w:rsid w:val="009B227A"/>
    <w:rsid w:val="009B285E"/>
    <w:rsid w:val="009B29DA"/>
    <w:rsid w:val="009B3187"/>
    <w:rsid w:val="009B4941"/>
    <w:rsid w:val="009B4A88"/>
    <w:rsid w:val="009B5158"/>
    <w:rsid w:val="009B64FE"/>
    <w:rsid w:val="009C0464"/>
    <w:rsid w:val="009C0DBD"/>
    <w:rsid w:val="009C1197"/>
    <w:rsid w:val="009C13B9"/>
    <w:rsid w:val="009C1F6D"/>
    <w:rsid w:val="009C1FA0"/>
    <w:rsid w:val="009C2C4C"/>
    <w:rsid w:val="009C357A"/>
    <w:rsid w:val="009C413C"/>
    <w:rsid w:val="009C4582"/>
    <w:rsid w:val="009C4DB2"/>
    <w:rsid w:val="009C4F41"/>
    <w:rsid w:val="009C5D6E"/>
    <w:rsid w:val="009C687F"/>
    <w:rsid w:val="009C712A"/>
    <w:rsid w:val="009D00B0"/>
    <w:rsid w:val="009D032E"/>
    <w:rsid w:val="009D0A97"/>
    <w:rsid w:val="009D0D89"/>
    <w:rsid w:val="009D1508"/>
    <w:rsid w:val="009D1C6D"/>
    <w:rsid w:val="009D1D32"/>
    <w:rsid w:val="009D2427"/>
    <w:rsid w:val="009D2D71"/>
    <w:rsid w:val="009D3BD6"/>
    <w:rsid w:val="009D410D"/>
    <w:rsid w:val="009D4B4E"/>
    <w:rsid w:val="009D5221"/>
    <w:rsid w:val="009D5732"/>
    <w:rsid w:val="009D6604"/>
    <w:rsid w:val="009D6ACD"/>
    <w:rsid w:val="009D6CEE"/>
    <w:rsid w:val="009D70BD"/>
    <w:rsid w:val="009D7C5C"/>
    <w:rsid w:val="009E0A26"/>
    <w:rsid w:val="009E1EB5"/>
    <w:rsid w:val="009E2445"/>
    <w:rsid w:val="009E4146"/>
    <w:rsid w:val="009E458A"/>
    <w:rsid w:val="009E4960"/>
    <w:rsid w:val="009E4A68"/>
    <w:rsid w:val="009E52B5"/>
    <w:rsid w:val="009E5335"/>
    <w:rsid w:val="009E55BE"/>
    <w:rsid w:val="009E57C1"/>
    <w:rsid w:val="009E5975"/>
    <w:rsid w:val="009E7D47"/>
    <w:rsid w:val="009E7FBF"/>
    <w:rsid w:val="009F0FFD"/>
    <w:rsid w:val="009F1223"/>
    <w:rsid w:val="009F28A2"/>
    <w:rsid w:val="009F2EBD"/>
    <w:rsid w:val="009F3D52"/>
    <w:rsid w:val="009F4127"/>
    <w:rsid w:val="009F45EB"/>
    <w:rsid w:val="009F4CAE"/>
    <w:rsid w:val="009F4E17"/>
    <w:rsid w:val="009F5543"/>
    <w:rsid w:val="009F6715"/>
    <w:rsid w:val="009F6AEE"/>
    <w:rsid w:val="009F6F4B"/>
    <w:rsid w:val="009F7F7A"/>
    <w:rsid w:val="00A00D3B"/>
    <w:rsid w:val="00A00D41"/>
    <w:rsid w:val="00A01A8C"/>
    <w:rsid w:val="00A020D5"/>
    <w:rsid w:val="00A02814"/>
    <w:rsid w:val="00A02A9C"/>
    <w:rsid w:val="00A0327F"/>
    <w:rsid w:val="00A03742"/>
    <w:rsid w:val="00A03855"/>
    <w:rsid w:val="00A039C6"/>
    <w:rsid w:val="00A04435"/>
    <w:rsid w:val="00A045DA"/>
    <w:rsid w:val="00A0467D"/>
    <w:rsid w:val="00A04B8B"/>
    <w:rsid w:val="00A04C50"/>
    <w:rsid w:val="00A05B5A"/>
    <w:rsid w:val="00A064F3"/>
    <w:rsid w:val="00A06F88"/>
    <w:rsid w:val="00A06FD8"/>
    <w:rsid w:val="00A077BA"/>
    <w:rsid w:val="00A07B6D"/>
    <w:rsid w:val="00A07D0D"/>
    <w:rsid w:val="00A10A29"/>
    <w:rsid w:val="00A10D87"/>
    <w:rsid w:val="00A10FDF"/>
    <w:rsid w:val="00A11094"/>
    <w:rsid w:val="00A11BEE"/>
    <w:rsid w:val="00A12594"/>
    <w:rsid w:val="00A12741"/>
    <w:rsid w:val="00A12EC2"/>
    <w:rsid w:val="00A141C2"/>
    <w:rsid w:val="00A14719"/>
    <w:rsid w:val="00A147E9"/>
    <w:rsid w:val="00A14870"/>
    <w:rsid w:val="00A14B51"/>
    <w:rsid w:val="00A14BD9"/>
    <w:rsid w:val="00A1579F"/>
    <w:rsid w:val="00A15876"/>
    <w:rsid w:val="00A15D5D"/>
    <w:rsid w:val="00A1734E"/>
    <w:rsid w:val="00A17D23"/>
    <w:rsid w:val="00A2062E"/>
    <w:rsid w:val="00A208E4"/>
    <w:rsid w:val="00A24074"/>
    <w:rsid w:val="00A243DD"/>
    <w:rsid w:val="00A24E37"/>
    <w:rsid w:val="00A25E03"/>
    <w:rsid w:val="00A25F1F"/>
    <w:rsid w:val="00A26AD3"/>
    <w:rsid w:val="00A26B0D"/>
    <w:rsid w:val="00A26DA4"/>
    <w:rsid w:val="00A2746F"/>
    <w:rsid w:val="00A30644"/>
    <w:rsid w:val="00A30921"/>
    <w:rsid w:val="00A30C44"/>
    <w:rsid w:val="00A30F0F"/>
    <w:rsid w:val="00A30FDF"/>
    <w:rsid w:val="00A3133C"/>
    <w:rsid w:val="00A3171E"/>
    <w:rsid w:val="00A322A2"/>
    <w:rsid w:val="00A3282E"/>
    <w:rsid w:val="00A32AB8"/>
    <w:rsid w:val="00A33456"/>
    <w:rsid w:val="00A33A90"/>
    <w:rsid w:val="00A34439"/>
    <w:rsid w:val="00A3471F"/>
    <w:rsid w:val="00A34F0E"/>
    <w:rsid w:val="00A353D2"/>
    <w:rsid w:val="00A35475"/>
    <w:rsid w:val="00A35635"/>
    <w:rsid w:val="00A35FBD"/>
    <w:rsid w:val="00A36041"/>
    <w:rsid w:val="00A364C5"/>
    <w:rsid w:val="00A365C5"/>
    <w:rsid w:val="00A365E0"/>
    <w:rsid w:val="00A40F97"/>
    <w:rsid w:val="00A41266"/>
    <w:rsid w:val="00A41395"/>
    <w:rsid w:val="00A41522"/>
    <w:rsid w:val="00A424F5"/>
    <w:rsid w:val="00A42675"/>
    <w:rsid w:val="00A4277C"/>
    <w:rsid w:val="00A4311F"/>
    <w:rsid w:val="00A43678"/>
    <w:rsid w:val="00A43772"/>
    <w:rsid w:val="00A44261"/>
    <w:rsid w:val="00A4444F"/>
    <w:rsid w:val="00A44A36"/>
    <w:rsid w:val="00A454B9"/>
    <w:rsid w:val="00A45A27"/>
    <w:rsid w:val="00A463A0"/>
    <w:rsid w:val="00A46831"/>
    <w:rsid w:val="00A46B03"/>
    <w:rsid w:val="00A46FE6"/>
    <w:rsid w:val="00A47C7A"/>
    <w:rsid w:val="00A47DDC"/>
    <w:rsid w:val="00A50065"/>
    <w:rsid w:val="00A517CE"/>
    <w:rsid w:val="00A51BC3"/>
    <w:rsid w:val="00A51C67"/>
    <w:rsid w:val="00A52EE2"/>
    <w:rsid w:val="00A5325A"/>
    <w:rsid w:val="00A535F5"/>
    <w:rsid w:val="00A547F6"/>
    <w:rsid w:val="00A553AF"/>
    <w:rsid w:val="00A5688D"/>
    <w:rsid w:val="00A5751E"/>
    <w:rsid w:val="00A57920"/>
    <w:rsid w:val="00A61041"/>
    <w:rsid w:val="00A61153"/>
    <w:rsid w:val="00A6209F"/>
    <w:rsid w:val="00A62582"/>
    <w:rsid w:val="00A62963"/>
    <w:rsid w:val="00A62A13"/>
    <w:rsid w:val="00A651D7"/>
    <w:rsid w:val="00A663F0"/>
    <w:rsid w:val="00A668BB"/>
    <w:rsid w:val="00A67587"/>
    <w:rsid w:val="00A67A4F"/>
    <w:rsid w:val="00A70A07"/>
    <w:rsid w:val="00A70CD6"/>
    <w:rsid w:val="00A70E1F"/>
    <w:rsid w:val="00A711F2"/>
    <w:rsid w:val="00A72818"/>
    <w:rsid w:val="00A7298B"/>
    <w:rsid w:val="00A7324D"/>
    <w:rsid w:val="00A7396A"/>
    <w:rsid w:val="00A73972"/>
    <w:rsid w:val="00A73E94"/>
    <w:rsid w:val="00A746C1"/>
    <w:rsid w:val="00A74706"/>
    <w:rsid w:val="00A74D7D"/>
    <w:rsid w:val="00A75922"/>
    <w:rsid w:val="00A76683"/>
    <w:rsid w:val="00A76D5A"/>
    <w:rsid w:val="00A77E18"/>
    <w:rsid w:val="00A801CE"/>
    <w:rsid w:val="00A806B1"/>
    <w:rsid w:val="00A80C28"/>
    <w:rsid w:val="00A80E75"/>
    <w:rsid w:val="00A80F53"/>
    <w:rsid w:val="00A8124C"/>
    <w:rsid w:val="00A8157E"/>
    <w:rsid w:val="00A830D9"/>
    <w:rsid w:val="00A837A0"/>
    <w:rsid w:val="00A83DBD"/>
    <w:rsid w:val="00A84333"/>
    <w:rsid w:val="00A84658"/>
    <w:rsid w:val="00A85612"/>
    <w:rsid w:val="00A862FB"/>
    <w:rsid w:val="00A86A11"/>
    <w:rsid w:val="00A86E11"/>
    <w:rsid w:val="00A87431"/>
    <w:rsid w:val="00A874D1"/>
    <w:rsid w:val="00A87E08"/>
    <w:rsid w:val="00A906ED"/>
    <w:rsid w:val="00A90F1E"/>
    <w:rsid w:val="00A90F44"/>
    <w:rsid w:val="00A9147D"/>
    <w:rsid w:val="00A91B1A"/>
    <w:rsid w:val="00A91CCC"/>
    <w:rsid w:val="00A9287C"/>
    <w:rsid w:val="00A92950"/>
    <w:rsid w:val="00A94F25"/>
    <w:rsid w:val="00A96261"/>
    <w:rsid w:val="00A9646C"/>
    <w:rsid w:val="00A9668E"/>
    <w:rsid w:val="00A966F1"/>
    <w:rsid w:val="00A9670F"/>
    <w:rsid w:val="00A96FBB"/>
    <w:rsid w:val="00A974D3"/>
    <w:rsid w:val="00A9758F"/>
    <w:rsid w:val="00A976CF"/>
    <w:rsid w:val="00AA0309"/>
    <w:rsid w:val="00AA048C"/>
    <w:rsid w:val="00AA07D7"/>
    <w:rsid w:val="00AA0826"/>
    <w:rsid w:val="00AA09CE"/>
    <w:rsid w:val="00AA0DE0"/>
    <w:rsid w:val="00AA0F9B"/>
    <w:rsid w:val="00AA1CEE"/>
    <w:rsid w:val="00AA2801"/>
    <w:rsid w:val="00AA2BE0"/>
    <w:rsid w:val="00AA3998"/>
    <w:rsid w:val="00AA3BD2"/>
    <w:rsid w:val="00AA3BE6"/>
    <w:rsid w:val="00AA3C50"/>
    <w:rsid w:val="00AA466A"/>
    <w:rsid w:val="00AA4738"/>
    <w:rsid w:val="00AA4752"/>
    <w:rsid w:val="00AA51B3"/>
    <w:rsid w:val="00AA5358"/>
    <w:rsid w:val="00AA7B4A"/>
    <w:rsid w:val="00AB03E9"/>
    <w:rsid w:val="00AB078E"/>
    <w:rsid w:val="00AB0888"/>
    <w:rsid w:val="00AB09E5"/>
    <w:rsid w:val="00AB272E"/>
    <w:rsid w:val="00AB2E39"/>
    <w:rsid w:val="00AB3A26"/>
    <w:rsid w:val="00AB3F3B"/>
    <w:rsid w:val="00AB3FF1"/>
    <w:rsid w:val="00AB409C"/>
    <w:rsid w:val="00AB5D6E"/>
    <w:rsid w:val="00AB5E2C"/>
    <w:rsid w:val="00AB6704"/>
    <w:rsid w:val="00AB7413"/>
    <w:rsid w:val="00AB743E"/>
    <w:rsid w:val="00AB7528"/>
    <w:rsid w:val="00AB76E2"/>
    <w:rsid w:val="00AC081F"/>
    <w:rsid w:val="00AC099A"/>
    <w:rsid w:val="00AC1E2F"/>
    <w:rsid w:val="00AC30AC"/>
    <w:rsid w:val="00AC3970"/>
    <w:rsid w:val="00AC4416"/>
    <w:rsid w:val="00AC4576"/>
    <w:rsid w:val="00AC494B"/>
    <w:rsid w:val="00AC68C9"/>
    <w:rsid w:val="00AC7F8C"/>
    <w:rsid w:val="00AD0167"/>
    <w:rsid w:val="00AD0D4B"/>
    <w:rsid w:val="00AD11C4"/>
    <w:rsid w:val="00AD1801"/>
    <w:rsid w:val="00AD18FB"/>
    <w:rsid w:val="00AD2AE4"/>
    <w:rsid w:val="00AD2B4F"/>
    <w:rsid w:val="00AD2B74"/>
    <w:rsid w:val="00AD3339"/>
    <w:rsid w:val="00AD458B"/>
    <w:rsid w:val="00AD5129"/>
    <w:rsid w:val="00AD530C"/>
    <w:rsid w:val="00AD583F"/>
    <w:rsid w:val="00AD5AE3"/>
    <w:rsid w:val="00AD6981"/>
    <w:rsid w:val="00AD6A2C"/>
    <w:rsid w:val="00AD6CAA"/>
    <w:rsid w:val="00AD6F92"/>
    <w:rsid w:val="00AD73FC"/>
    <w:rsid w:val="00AD7745"/>
    <w:rsid w:val="00AD7BEE"/>
    <w:rsid w:val="00AE05EB"/>
    <w:rsid w:val="00AE267D"/>
    <w:rsid w:val="00AE3166"/>
    <w:rsid w:val="00AE34ED"/>
    <w:rsid w:val="00AE3536"/>
    <w:rsid w:val="00AE38C5"/>
    <w:rsid w:val="00AE3A0E"/>
    <w:rsid w:val="00AE3D3E"/>
    <w:rsid w:val="00AE3E86"/>
    <w:rsid w:val="00AE46B4"/>
    <w:rsid w:val="00AE46EB"/>
    <w:rsid w:val="00AE4CEE"/>
    <w:rsid w:val="00AE7BD3"/>
    <w:rsid w:val="00AE7BE0"/>
    <w:rsid w:val="00AF164A"/>
    <w:rsid w:val="00AF1C47"/>
    <w:rsid w:val="00AF2F86"/>
    <w:rsid w:val="00AF3400"/>
    <w:rsid w:val="00AF501F"/>
    <w:rsid w:val="00AF5318"/>
    <w:rsid w:val="00AF59E0"/>
    <w:rsid w:val="00AF5C18"/>
    <w:rsid w:val="00AF61AE"/>
    <w:rsid w:val="00AF6548"/>
    <w:rsid w:val="00AF6B53"/>
    <w:rsid w:val="00AF6FCB"/>
    <w:rsid w:val="00AF6FDD"/>
    <w:rsid w:val="00AF700A"/>
    <w:rsid w:val="00AF7055"/>
    <w:rsid w:val="00AF7146"/>
    <w:rsid w:val="00B000C8"/>
    <w:rsid w:val="00B00754"/>
    <w:rsid w:val="00B00E4D"/>
    <w:rsid w:val="00B01202"/>
    <w:rsid w:val="00B017D2"/>
    <w:rsid w:val="00B01B3C"/>
    <w:rsid w:val="00B01E25"/>
    <w:rsid w:val="00B03E2B"/>
    <w:rsid w:val="00B041F7"/>
    <w:rsid w:val="00B052D3"/>
    <w:rsid w:val="00B057D4"/>
    <w:rsid w:val="00B06DFA"/>
    <w:rsid w:val="00B074CF"/>
    <w:rsid w:val="00B07899"/>
    <w:rsid w:val="00B07B66"/>
    <w:rsid w:val="00B109B6"/>
    <w:rsid w:val="00B11620"/>
    <w:rsid w:val="00B11FA0"/>
    <w:rsid w:val="00B122A4"/>
    <w:rsid w:val="00B1237F"/>
    <w:rsid w:val="00B12496"/>
    <w:rsid w:val="00B129A2"/>
    <w:rsid w:val="00B130EA"/>
    <w:rsid w:val="00B144B2"/>
    <w:rsid w:val="00B147CF"/>
    <w:rsid w:val="00B1582A"/>
    <w:rsid w:val="00B15CFF"/>
    <w:rsid w:val="00B16557"/>
    <w:rsid w:val="00B1683C"/>
    <w:rsid w:val="00B16ADE"/>
    <w:rsid w:val="00B17C5D"/>
    <w:rsid w:val="00B20488"/>
    <w:rsid w:val="00B21920"/>
    <w:rsid w:val="00B21C51"/>
    <w:rsid w:val="00B223CF"/>
    <w:rsid w:val="00B225D0"/>
    <w:rsid w:val="00B23067"/>
    <w:rsid w:val="00B24375"/>
    <w:rsid w:val="00B246F0"/>
    <w:rsid w:val="00B250D0"/>
    <w:rsid w:val="00B2523F"/>
    <w:rsid w:val="00B2554A"/>
    <w:rsid w:val="00B25E99"/>
    <w:rsid w:val="00B26CC7"/>
    <w:rsid w:val="00B270B3"/>
    <w:rsid w:val="00B277A0"/>
    <w:rsid w:val="00B305B7"/>
    <w:rsid w:val="00B305C1"/>
    <w:rsid w:val="00B30E37"/>
    <w:rsid w:val="00B311D4"/>
    <w:rsid w:val="00B31361"/>
    <w:rsid w:val="00B32365"/>
    <w:rsid w:val="00B325A1"/>
    <w:rsid w:val="00B331CE"/>
    <w:rsid w:val="00B337AC"/>
    <w:rsid w:val="00B33C75"/>
    <w:rsid w:val="00B33CA3"/>
    <w:rsid w:val="00B33EE4"/>
    <w:rsid w:val="00B350F4"/>
    <w:rsid w:val="00B36A1A"/>
    <w:rsid w:val="00B36B5C"/>
    <w:rsid w:val="00B36EA6"/>
    <w:rsid w:val="00B3742E"/>
    <w:rsid w:val="00B37972"/>
    <w:rsid w:val="00B40233"/>
    <w:rsid w:val="00B40E95"/>
    <w:rsid w:val="00B412D4"/>
    <w:rsid w:val="00B41668"/>
    <w:rsid w:val="00B42395"/>
    <w:rsid w:val="00B42554"/>
    <w:rsid w:val="00B425CD"/>
    <w:rsid w:val="00B429D7"/>
    <w:rsid w:val="00B43416"/>
    <w:rsid w:val="00B43F56"/>
    <w:rsid w:val="00B4539E"/>
    <w:rsid w:val="00B454A9"/>
    <w:rsid w:val="00B466A0"/>
    <w:rsid w:val="00B46959"/>
    <w:rsid w:val="00B471FE"/>
    <w:rsid w:val="00B47F83"/>
    <w:rsid w:val="00B50F3A"/>
    <w:rsid w:val="00B52F6D"/>
    <w:rsid w:val="00B53832"/>
    <w:rsid w:val="00B53F36"/>
    <w:rsid w:val="00B54BC5"/>
    <w:rsid w:val="00B54EA3"/>
    <w:rsid w:val="00B550F8"/>
    <w:rsid w:val="00B5512E"/>
    <w:rsid w:val="00B559CB"/>
    <w:rsid w:val="00B56045"/>
    <w:rsid w:val="00B5609F"/>
    <w:rsid w:val="00B5614A"/>
    <w:rsid w:val="00B56386"/>
    <w:rsid w:val="00B56538"/>
    <w:rsid w:val="00B5756B"/>
    <w:rsid w:val="00B577F8"/>
    <w:rsid w:val="00B60268"/>
    <w:rsid w:val="00B602F4"/>
    <w:rsid w:val="00B60EBA"/>
    <w:rsid w:val="00B60EE6"/>
    <w:rsid w:val="00B638C6"/>
    <w:rsid w:val="00B640E0"/>
    <w:rsid w:val="00B64194"/>
    <w:rsid w:val="00B65233"/>
    <w:rsid w:val="00B6524E"/>
    <w:rsid w:val="00B663FD"/>
    <w:rsid w:val="00B665D3"/>
    <w:rsid w:val="00B66B04"/>
    <w:rsid w:val="00B67167"/>
    <w:rsid w:val="00B67385"/>
    <w:rsid w:val="00B676FF"/>
    <w:rsid w:val="00B679D9"/>
    <w:rsid w:val="00B708ED"/>
    <w:rsid w:val="00B71864"/>
    <w:rsid w:val="00B74174"/>
    <w:rsid w:val="00B74F73"/>
    <w:rsid w:val="00B756D8"/>
    <w:rsid w:val="00B75959"/>
    <w:rsid w:val="00B76159"/>
    <w:rsid w:val="00B7617B"/>
    <w:rsid w:val="00B765A3"/>
    <w:rsid w:val="00B77B0D"/>
    <w:rsid w:val="00B803FC"/>
    <w:rsid w:val="00B81DDB"/>
    <w:rsid w:val="00B81DE8"/>
    <w:rsid w:val="00B82B73"/>
    <w:rsid w:val="00B836D8"/>
    <w:rsid w:val="00B8424B"/>
    <w:rsid w:val="00B84351"/>
    <w:rsid w:val="00B8659F"/>
    <w:rsid w:val="00B865D6"/>
    <w:rsid w:val="00B9090D"/>
    <w:rsid w:val="00B90DAD"/>
    <w:rsid w:val="00B90E35"/>
    <w:rsid w:val="00B90F51"/>
    <w:rsid w:val="00B915D9"/>
    <w:rsid w:val="00B92367"/>
    <w:rsid w:val="00B92B76"/>
    <w:rsid w:val="00B92F0B"/>
    <w:rsid w:val="00B93390"/>
    <w:rsid w:val="00B93A25"/>
    <w:rsid w:val="00B93AA0"/>
    <w:rsid w:val="00B9426E"/>
    <w:rsid w:val="00B949DA"/>
    <w:rsid w:val="00B95BA8"/>
    <w:rsid w:val="00B95C4D"/>
    <w:rsid w:val="00B963FA"/>
    <w:rsid w:val="00B96472"/>
    <w:rsid w:val="00B97E19"/>
    <w:rsid w:val="00BA2C66"/>
    <w:rsid w:val="00BA3916"/>
    <w:rsid w:val="00BA3D6C"/>
    <w:rsid w:val="00BA4784"/>
    <w:rsid w:val="00BA603C"/>
    <w:rsid w:val="00BA6882"/>
    <w:rsid w:val="00BA69C1"/>
    <w:rsid w:val="00BA6DCB"/>
    <w:rsid w:val="00BA7628"/>
    <w:rsid w:val="00BA776D"/>
    <w:rsid w:val="00BA7A38"/>
    <w:rsid w:val="00BB133F"/>
    <w:rsid w:val="00BB19F0"/>
    <w:rsid w:val="00BB1C72"/>
    <w:rsid w:val="00BB1F23"/>
    <w:rsid w:val="00BB2486"/>
    <w:rsid w:val="00BB393A"/>
    <w:rsid w:val="00BB4454"/>
    <w:rsid w:val="00BB4649"/>
    <w:rsid w:val="00BB535F"/>
    <w:rsid w:val="00BB53BE"/>
    <w:rsid w:val="00BB59F1"/>
    <w:rsid w:val="00BB5E52"/>
    <w:rsid w:val="00BB6471"/>
    <w:rsid w:val="00BB69A8"/>
    <w:rsid w:val="00BB6F87"/>
    <w:rsid w:val="00BB7002"/>
    <w:rsid w:val="00BB74FD"/>
    <w:rsid w:val="00BB7669"/>
    <w:rsid w:val="00BC001B"/>
    <w:rsid w:val="00BC0F94"/>
    <w:rsid w:val="00BC27B7"/>
    <w:rsid w:val="00BC3BF7"/>
    <w:rsid w:val="00BC4449"/>
    <w:rsid w:val="00BC4EEA"/>
    <w:rsid w:val="00BC6491"/>
    <w:rsid w:val="00BC7940"/>
    <w:rsid w:val="00BD0AFD"/>
    <w:rsid w:val="00BD1794"/>
    <w:rsid w:val="00BD19FD"/>
    <w:rsid w:val="00BD1A54"/>
    <w:rsid w:val="00BD1C6C"/>
    <w:rsid w:val="00BD1ECD"/>
    <w:rsid w:val="00BD2659"/>
    <w:rsid w:val="00BD321F"/>
    <w:rsid w:val="00BD32B4"/>
    <w:rsid w:val="00BD33D8"/>
    <w:rsid w:val="00BD423F"/>
    <w:rsid w:val="00BD4427"/>
    <w:rsid w:val="00BD4844"/>
    <w:rsid w:val="00BD4FA7"/>
    <w:rsid w:val="00BD67E7"/>
    <w:rsid w:val="00BD687C"/>
    <w:rsid w:val="00BE00E5"/>
    <w:rsid w:val="00BE01B5"/>
    <w:rsid w:val="00BE05AF"/>
    <w:rsid w:val="00BE0F2F"/>
    <w:rsid w:val="00BE19A2"/>
    <w:rsid w:val="00BE1C3D"/>
    <w:rsid w:val="00BE1DAE"/>
    <w:rsid w:val="00BE22A5"/>
    <w:rsid w:val="00BE2D0C"/>
    <w:rsid w:val="00BE34EA"/>
    <w:rsid w:val="00BE3838"/>
    <w:rsid w:val="00BE4F8D"/>
    <w:rsid w:val="00BE51D1"/>
    <w:rsid w:val="00BE52F7"/>
    <w:rsid w:val="00BE5C98"/>
    <w:rsid w:val="00BE5FBB"/>
    <w:rsid w:val="00BE67F7"/>
    <w:rsid w:val="00BE7108"/>
    <w:rsid w:val="00BE7738"/>
    <w:rsid w:val="00BF008D"/>
    <w:rsid w:val="00BF1BDF"/>
    <w:rsid w:val="00BF2174"/>
    <w:rsid w:val="00BF293E"/>
    <w:rsid w:val="00BF2D8E"/>
    <w:rsid w:val="00BF34DA"/>
    <w:rsid w:val="00BF3526"/>
    <w:rsid w:val="00BF357F"/>
    <w:rsid w:val="00BF55ED"/>
    <w:rsid w:val="00BF6DE3"/>
    <w:rsid w:val="00BF6F78"/>
    <w:rsid w:val="00BF728D"/>
    <w:rsid w:val="00C00900"/>
    <w:rsid w:val="00C00A64"/>
    <w:rsid w:val="00C013D7"/>
    <w:rsid w:val="00C01906"/>
    <w:rsid w:val="00C02208"/>
    <w:rsid w:val="00C029BC"/>
    <w:rsid w:val="00C02A01"/>
    <w:rsid w:val="00C03401"/>
    <w:rsid w:val="00C03701"/>
    <w:rsid w:val="00C052AF"/>
    <w:rsid w:val="00C05EF8"/>
    <w:rsid w:val="00C063D2"/>
    <w:rsid w:val="00C068CA"/>
    <w:rsid w:val="00C06D72"/>
    <w:rsid w:val="00C0773C"/>
    <w:rsid w:val="00C07EB7"/>
    <w:rsid w:val="00C109B1"/>
    <w:rsid w:val="00C112AB"/>
    <w:rsid w:val="00C1141B"/>
    <w:rsid w:val="00C11582"/>
    <w:rsid w:val="00C1190A"/>
    <w:rsid w:val="00C1279B"/>
    <w:rsid w:val="00C12AE3"/>
    <w:rsid w:val="00C132E2"/>
    <w:rsid w:val="00C13951"/>
    <w:rsid w:val="00C141EE"/>
    <w:rsid w:val="00C160C3"/>
    <w:rsid w:val="00C171DC"/>
    <w:rsid w:val="00C17290"/>
    <w:rsid w:val="00C17C36"/>
    <w:rsid w:val="00C17DC0"/>
    <w:rsid w:val="00C20352"/>
    <w:rsid w:val="00C21214"/>
    <w:rsid w:val="00C214F0"/>
    <w:rsid w:val="00C21AB7"/>
    <w:rsid w:val="00C22966"/>
    <w:rsid w:val="00C22DB9"/>
    <w:rsid w:val="00C248A1"/>
    <w:rsid w:val="00C24C5B"/>
    <w:rsid w:val="00C250D2"/>
    <w:rsid w:val="00C25204"/>
    <w:rsid w:val="00C25AC1"/>
    <w:rsid w:val="00C271AF"/>
    <w:rsid w:val="00C27922"/>
    <w:rsid w:val="00C27AC8"/>
    <w:rsid w:val="00C303E3"/>
    <w:rsid w:val="00C30FA2"/>
    <w:rsid w:val="00C31015"/>
    <w:rsid w:val="00C328B2"/>
    <w:rsid w:val="00C32A63"/>
    <w:rsid w:val="00C33058"/>
    <w:rsid w:val="00C33E7E"/>
    <w:rsid w:val="00C34385"/>
    <w:rsid w:val="00C34792"/>
    <w:rsid w:val="00C3525C"/>
    <w:rsid w:val="00C35620"/>
    <w:rsid w:val="00C35974"/>
    <w:rsid w:val="00C35D75"/>
    <w:rsid w:val="00C36029"/>
    <w:rsid w:val="00C37668"/>
    <w:rsid w:val="00C37EDD"/>
    <w:rsid w:val="00C37F33"/>
    <w:rsid w:val="00C41F2C"/>
    <w:rsid w:val="00C42642"/>
    <w:rsid w:val="00C42A5E"/>
    <w:rsid w:val="00C42C05"/>
    <w:rsid w:val="00C4356B"/>
    <w:rsid w:val="00C43597"/>
    <w:rsid w:val="00C43706"/>
    <w:rsid w:val="00C45262"/>
    <w:rsid w:val="00C457B8"/>
    <w:rsid w:val="00C46574"/>
    <w:rsid w:val="00C46820"/>
    <w:rsid w:val="00C476F1"/>
    <w:rsid w:val="00C5012F"/>
    <w:rsid w:val="00C505C7"/>
    <w:rsid w:val="00C50B14"/>
    <w:rsid w:val="00C5231E"/>
    <w:rsid w:val="00C5246C"/>
    <w:rsid w:val="00C528BD"/>
    <w:rsid w:val="00C529F6"/>
    <w:rsid w:val="00C53FCA"/>
    <w:rsid w:val="00C54BD5"/>
    <w:rsid w:val="00C57C73"/>
    <w:rsid w:val="00C57E38"/>
    <w:rsid w:val="00C60816"/>
    <w:rsid w:val="00C608EB"/>
    <w:rsid w:val="00C60F5F"/>
    <w:rsid w:val="00C632DE"/>
    <w:rsid w:val="00C638BF"/>
    <w:rsid w:val="00C63D19"/>
    <w:rsid w:val="00C64217"/>
    <w:rsid w:val="00C657DC"/>
    <w:rsid w:val="00C65C5C"/>
    <w:rsid w:val="00C70286"/>
    <w:rsid w:val="00C70949"/>
    <w:rsid w:val="00C71DE5"/>
    <w:rsid w:val="00C723C0"/>
    <w:rsid w:val="00C724F4"/>
    <w:rsid w:val="00C72A5E"/>
    <w:rsid w:val="00C73945"/>
    <w:rsid w:val="00C73DCC"/>
    <w:rsid w:val="00C74092"/>
    <w:rsid w:val="00C75B10"/>
    <w:rsid w:val="00C764C3"/>
    <w:rsid w:val="00C7688E"/>
    <w:rsid w:val="00C76C0A"/>
    <w:rsid w:val="00C77DF1"/>
    <w:rsid w:val="00C801C8"/>
    <w:rsid w:val="00C807B2"/>
    <w:rsid w:val="00C80A8A"/>
    <w:rsid w:val="00C8174C"/>
    <w:rsid w:val="00C8183E"/>
    <w:rsid w:val="00C8258E"/>
    <w:rsid w:val="00C82739"/>
    <w:rsid w:val="00C82986"/>
    <w:rsid w:val="00C83358"/>
    <w:rsid w:val="00C84225"/>
    <w:rsid w:val="00C84ABA"/>
    <w:rsid w:val="00C84B34"/>
    <w:rsid w:val="00C85147"/>
    <w:rsid w:val="00C861BC"/>
    <w:rsid w:val="00C863BA"/>
    <w:rsid w:val="00C86419"/>
    <w:rsid w:val="00C86F3C"/>
    <w:rsid w:val="00C8712E"/>
    <w:rsid w:val="00C877D9"/>
    <w:rsid w:val="00C9043A"/>
    <w:rsid w:val="00C90467"/>
    <w:rsid w:val="00C90555"/>
    <w:rsid w:val="00C93684"/>
    <w:rsid w:val="00C942C8"/>
    <w:rsid w:val="00C951BC"/>
    <w:rsid w:val="00C9539D"/>
    <w:rsid w:val="00C9634C"/>
    <w:rsid w:val="00C96B99"/>
    <w:rsid w:val="00C975AB"/>
    <w:rsid w:val="00C97824"/>
    <w:rsid w:val="00C97B48"/>
    <w:rsid w:val="00CA02E2"/>
    <w:rsid w:val="00CA0886"/>
    <w:rsid w:val="00CA0893"/>
    <w:rsid w:val="00CA0DA6"/>
    <w:rsid w:val="00CA0F9A"/>
    <w:rsid w:val="00CA10E8"/>
    <w:rsid w:val="00CA128D"/>
    <w:rsid w:val="00CA1404"/>
    <w:rsid w:val="00CA1511"/>
    <w:rsid w:val="00CA23E4"/>
    <w:rsid w:val="00CA2429"/>
    <w:rsid w:val="00CA2C3D"/>
    <w:rsid w:val="00CA31FE"/>
    <w:rsid w:val="00CA431E"/>
    <w:rsid w:val="00CA434C"/>
    <w:rsid w:val="00CA60E7"/>
    <w:rsid w:val="00CA61AF"/>
    <w:rsid w:val="00CA6607"/>
    <w:rsid w:val="00CA6845"/>
    <w:rsid w:val="00CA77EC"/>
    <w:rsid w:val="00CB071C"/>
    <w:rsid w:val="00CB1C85"/>
    <w:rsid w:val="00CB2DFD"/>
    <w:rsid w:val="00CB2E1C"/>
    <w:rsid w:val="00CB3754"/>
    <w:rsid w:val="00CB3DF1"/>
    <w:rsid w:val="00CB40A4"/>
    <w:rsid w:val="00CB454A"/>
    <w:rsid w:val="00CB48AF"/>
    <w:rsid w:val="00CB5ED9"/>
    <w:rsid w:val="00CB5F7C"/>
    <w:rsid w:val="00CB7A66"/>
    <w:rsid w:val="00CB7BFF"/>
    <w:rsid w:val="00CB7F8E"/>
    <w:rsid w:val="00CC0B72"/>
    <w:rsid w:val="00CC0CF0"/>
    <w:rsid w:val="00CC0DA3"/>
    <w:rsid w:val="00CC0FF5"/>
    <w:rsid w:val="00CC1150"/>
    <w:rsid w:val="00CC27E2"/>
    <w:rsid w:val="00CC356E"/>
    <w:rsid w:val="00CC4051"/>
    <w:rsid w:val="00CC4AD3"/>
    <w:rsid w:val="00CC4E18"/>
    <w:rsid w:val="00CC5881"/>
    <w:rsid w:val="00CC6307"/>
    <w:rsid w:val="00CC7815"/>
    <w:rsid w:val="00CD01BE"/>
    <w:rsid w:val="00CD0689"/>
    <w:rsid w:val="00CD07DB"/>
    <w:rsid w:val="00CD0EA1"/>
    <w:rsid w:val="00CD1316"/>
    <w:rsid w:val="00CD1EDD"/>
    <w:rsid w:val="00CD2396"/>
    <w:rsid w:val="00CD3373"/>
    <w:rsid w:val="00CD33E2"/>
    <w:rsid w:val="00CD3D4C"/>
    <w:rsid w:val="00CD5ABE"/>
    <w:rsid w:val="00CD5AFD"/>
    <w:rsid w:val="00CD5DFB"/>
    <w:rsid w:val="00CD6DB8"/>
    <w:rsid w:val="00CD703A"/>
    <w:rsid w:val="00CD70F1"/>
    <w:rsid w:val="00CD7340"/>
    <w:rsid w:val="00CE0517"/>
    <w:rsid w:val="00CE05E9"/>
    <w:rsid w:val="00CE0823"/>
    <w:rsid w:val="00CE10A1"/>
    <w:rsid w:val="00CE1496"/>
    <w:rsid w:val="00CE1975"/>
    <w:rsid w:val="00CE294A"/>
    <w:rsid w:val="00CE2D68"/>
    <w:rsid w:val="00CE2EB7"/>
    <w:rsid w:val="00CE3268"/>
    <w:rsid w:val="00CE49FB"/>
    <w:rsid w:val="00CE4AE5"/>
    <w:rsid w:val="00CE4BBD"/>
    <w:rsid w:val="00CE4E5D"/>
    <w:rsid w:val="00CE4E9D"/>
    <w:rsid w:val="00CE5BC4"/>
    <w:rsid w:val="00CE6975"/>
    <w:rsid w:val="00CE6FCD"/>
    <w:rsid w:val="00CE7268"/>
    <w:rsid w:val="00CE7831"/>
    <w:rsid w:val="00CF0619"/>
    <w:rsid w:val="00CF28A1"/>
    <w:rsid w:val="00CF2991"/>
    <w:rsid w:val="00CF2C46"/>
    <w:rsid w:val="00CF348B"/>
    <w:rsid w:val="00CF37C2"/>
    <w:rsid w:val="00CF41E9"/>
    <w:rsid w:val="00CF44BB"/>
    <w:rsid w:val="00CF5688"/>
    <w:rsid w:val="00CF6AE6"/>
    <w:rsid w:val="00D0016A"/>
    <w:rsid w:val="00D00220"/>
    <w:rsid w:val="00D00A04"/>
    <w:rsid w:val="00D015FC"/>
    <w:rsid w:val="00D024AE"/>
    <w:rsid w:val="00D02F4B"/>
    <w:rsid w:val="00D03A96"/>
    <w:rsid w:val="00D049F5"/>
    <w:rsid w:val="00D04E46"/>
    <w:rsid w:val="00D04FE9"/>
    <w:rsid w:val="00D05B20"/>
    <w:rsid w:val="00D0647C"/>
    <w:rsid w:val="00D06B07"/>
    <w:rsid w:val="00D075A1"/>
    <w:rsid w:val="00D10790"/>
    <w:rsid w:val="00D10E06"/>
    <w:rsid w:val="00D1213A"/>
    <w:rsid w:val="00D12BF5"/>
    <w:rsid w:val="00D12C4A"/>
    <w:rsid w:val="00D131DB"/>
    <w:rsid w:val="00D134DF"/>
    <w:rsid w:val="00D134E1"/>
    <w:rsid w:val="00D13DCD"/>
    <w:rsid w:val="00D14A1C"/>
    <w:rsid w:val="00D14EEA"/>
    <w:rsid w:val="00D15E84"/>
    <w:rsid w:val="00D164FC"/>
    <w:rsid w:val="00D167C6"/>
    <w:rsid w:val="00D1692E"/>
    <w:rsid w:val="00D177E6"/>
    <w:rsid w:val="00D17A65"/>
    <w:rsid w:val="00D17CB3"/>
    <w:rsid w:val="00D20C86"/>
    <w:rsid w:val="00D21EF1"/>
    <w:rsid w:val="00D21EFA"/>
    <w:rsid w:val="00D226FB"/>
    <w:rsid w:val="00D227C8"/>
    <w:rsid w:val="00D23220"/>
    <w:rsid w:val="00D24014"/>
    <w:rsid w:val="00D2438F"/>
    <w:rsid w:val="00D26B37"/>
    <w:rsid w:val="00D27004"/>
    <w:rsid w:val="00D31546"/>
    <w:rsid w:val="00D32239"/>
    <w:rsid w:val="00D3240D"/>
    <w:rsid w:val="00D3386B"/>
    <w:rsid w:val="00D33979"/>
    <w:rsid w:val="00D353FF"/>
    <w:rsid w:val="00D35F53"/>
    <w:rsid w:val="00D36E3B"/>
    <w:rsid w:val="00D36FDD"/>
    <w:rsid w:val="00D37911"/>
    <w:rsid w:val="00D37B23"/>
    <w:rsid w:val="00D37CC4"/>
    <w:rsid w:val="00D37DF4"/>
    <w:rsid w:val="00D40F02"/>
    <w:rsid w:val="00D411A4"/>
    <w:rsid w:val="00D41CBF"/>
    <w:rsid w:val="00D41F2B"/>
    <w:rsid w:val="00D42B5B"/>
    <w:rsid w:val="00D434AA"/>
    <w:rsid w:val="00D435B6"/>
    <w:rsid w:val="00D43C12"/>
    <w:rsid w:val="00D43DAA"/>
    <w:rsid w:val="00D44271"/>
    <w:rsid w:val="00D442D3"/>
    <w:rsid w:val="00D443B9"/>
    <w:rsid w:val="00D44D8E"/>
    <w:rsid w:val="00D44F39"/>
    <w:rsid w:val="00D44FD8"/>
    <w:rsid w:val="00D454C2"/>
    <w:rsid w:val="00D456EE"/>
    <w:rsid w:val="00D45CD0"/>
    <w:rsid w:val="00D46100"/>
    <w:rsid w:val="00D5008B"/>
    <w:rsid w:val="00D50CBF"/>
    <w:rsid w:val="00D5100E"/>
    <w:rsid w:val="00D51F41"/>
    <w:rsid w:val="00D52391"/>
    <w:rsid w:val="00D526EE"/>
    <w:rsid w:val="00D528A0"/>
    <w:rsid w:val="00D53935"/>
    <w:rsid w:val="00D53E05"/>
    <w:rsid w:val="00D54158"/>
    <w:rsid w:val="00D5487E"/>
    <w:rsid w:val="00D54C6D"/>
    <w:rsid w:val="00D56E7B"/>
    <w:rsid w:val="00D5708F"/>
    <w:rsid w:val="00D573BC"/>
    <w:rsid w:val="00D60B94"/>
    <w:rsid w:val="00D617C7"/>
    <w:rsid w:val="00D61B52"/>
    <w:rsid w:val="00D61D99"/>
    <w:rsid w:val="00D62FF4"/>
    <w:rsid w:val="00D638A7"/>
    <w:rsid w:val="00D63A32"/>
    <w:rsid w:val="00D63BED"/>
    <w:rsid w:val="00D66147"/>
    <w:rsid w:val="00D6629D"/>
    <w:rsid w:val="00D66453"/>
    <w:rsid w:val="00D67AC6"/>
    <w:rsid w:val="00D67CBA"/>
    <w:rsid w:val="00D67E41"/>
    <w:rsid w:val="00D7047F"/>
    <w:rsid w:val="00D71B74"/>
    <w:rsid w:val="00D7230F"/>
    <w:rsid w:val="00D72DEF"/>
    <w:rsid w:val="00D731DA"/>
    <w:rsid w:val="00D739A8"/>
    <w:rsid w:val="00D742B7"/>
    <w:rsid w:val="00D749AC"/>
    <w:rsid w:val="00D74BB0"/>
    <w:rsid w:val="00D7506D"/>
    <w:rsid w:val="00D7512A"/>
    <w:rsid w:val="00D75ABB"/>
    <w:rsid w:val="00D76C08"/>
    <w:rsid w:val="00D7721F"/>
    <w:rsid w:val="00D8114B"/>
    <w:rsid w:val="00D815B0"/>
    <w:rsid w:val="00D81DDA"/>
    <w:rsid w:val="00D8288C"/>
    <w:rsid w:val="00D837DA"/>
    <w:rsid w:val="00D8410A"/>
    <w:rsid w:val="00D84255"/>
    <w:rsid w:val="00D84488"/>
    <w:rsid w:val="00D859A2"/>
    <w:rsid w:val="00D85EB5"/>
    <w:rsid w:val="00D861DC"/>
    <w:rsid w:val="00D86352"/>
    <w:rsid w:val="00D867E3"/>
    <w:rsid w:val="00D86B6B"/>
    <w:rsid w:val="00D87CF1"/>
    <w:rsid w:val="00D90336"/>
    <w:rsid w:val="00D90E0F"/>
    <w:rsid w:val="00D917E9"/>
    <w:rsid w:val="00D918A7"/>
    <w:rsid w:val="00D92AC0"/>
    <w:rsid w:val="00D93556"/>
    <w:rsid w:val="00D93750"/>
    <w:rsid w:val="00D93CDD"/>
    <w:rsid w:val="00D95536"/>
    <w:rsid w:val="00D95CB2"/>
    <w:rsid w:val="00D961E2"/>
    <w:rsid w:val="00D969C1"/>
    <w:rsid w:val="00D96F0B"/>
    <w:rsid w:val="00DA074F"/>
    <w:rsid w:val="00DA0BD1"/>
    <w:rsid w:val="00DA0EF6"/>
    <w:rsid w:val="00DA2168"/>
    <w:rsid w:val="00DA2317"/>
    <w:rsid w:val="00DA2336"/>
    <w:rsid w:val="00DA2C35"/>
    <w:rsid w:val="00DA3377"/>
    <w:rsid w:val="00DA3502"/>
    <w:rsid w:val="00DA482E"/>
    <w:rsid w:val="00DA4D81"/>
    <w:rsid w:val="00DA560A"/>
    <w:rsid w:val="00DA572E"/>
    <w:rsid w:val="00DA5DE6"/>
    <w:rsid w:val="00DA5F07"/>
    <w:rsid w:val="00DA61F3"/>
    <w:rsid w:val="00DA6987"/>
    <w:rsid w:val="00DA6A36"/>
    <w:rsid w:val="00DA727B"/>
    <w:rsid w:val="00DA7C30"/>
    <w:rsid w:val="00DA7C4C"/>
    <w:rsid w:val="00DA7C80"/>
    <w:rsid w:val="00DB0484"/>
    <w:rsid w:val="00DB0F85"/>
    <w:rsid w:val="00DB14B3"/>
    <w:rsid w:val="00DB37A1"/>
    <w:rsid w:val="00DB4B67"/>
    <w:rsid w:val="00DB5426"/>
    <w:rsid w:val="00DB5D13"/>
    <w:rsid w:val="00DB6E0A"/>
    <w:rsid w:val="00DB6E29"/>
    <w:rsid w:val="00DB70D4"/>
    <w:rsid w:val="00DB7BB2"/>
    <w:rsid w:val="00DC0011"/>
    <w:rsid w:val="00DC0602"/>
    <w:rsid w:val="00DC094A"/>
    <w:rsid w:val="00DC0E8E"/>
    <w:rsid w:val="00DC11C2"/>
    <w:rsid w:val="00DC1BD4"/>
    <w:rsid w:val="00DC30C9"/>
    <w:rsid w:val="00DC3523"/>
    <w:rsid w:val="00DC4199"/>
    <w:rsid w:val="00DC447E"/>
    <w:rsid w:val="00DC6901"/>
    <w:rsid w:val="00DC6972"/>
    <w:rsid w:val="00DC697C"/>
    <w:rsid w:val="00DC744D"/>
    <w:rsid w:val="00DC7986"/>
    <w:rsid w:val="00DC7DB1"/>
    <w:rsid w:val="00DD0B6F"/>
    <w:rsid w:val="00DD12BD"/>
    <w:rsid w:val="00DD373E"/>
    <w:rsid w:val="00DD42FE"/>
    <w:rsid w:val="00DD4CE5"/>
    <w:rsid w:val="00DD4E9D"/>
    <w:rsid w:val="00DD501A"/>
    <w:rsid w:val="00DD5320"/>
    <w:rsid w:val="00DD5A7B"/>
    <w:rsid w:val="00DD67DF"/>
    <w:rsid w:val="00DD6861"/>
    <w:rsid w:val="00DD687B"/>
    <w:rsid w:val="00DD7373"/>
    <w:rsid w:val="00DD7F46"/>
    <w:rsid w:val="00DE069A"/>
    <w:rsid w:val="00DE1833"/>
    <w:rsid w:val="00DE281E"/>
    <w:rsid w:val="00DE4516"/>
    <w:rsid w:val="00DE48FD"/>
    <w:rsid w:val="00DE4962"/>
    <w:rsid w:val="00DE5BF9"/>
    <w:rsid w:val="00DE5F6D"/>
    <w:rsid w:val="00DE67C3"/>
    <w:rsid w:val="00DE6B3E"/>
    <w:rsid w:val="00DE6E6B"/>
    <w:rsid w:val="00DE7BF3"/>
    <w:rsid w:val="00DE7CC8"/>
    <w:rsid w:val="00DF02E7"/>
    <w:rsid w:val="00DF056F"/>
    <w:rsid w:val="00DF1D83"/>
    <w:rsid w:val="00DF240E"/>
    <w:rsid w:val="00DF28DA"/>
    <w:rsid w:val="00DF37C7"/>
    <w:rsid w:val="00DF5002"/>
    <w:rsid w:val="00DF534B"/>
    <w:rsid w:val="00DF6057"/>
    <w:rsid w:val="00DF6584"/>
    <w:rsid w:val="00DF6893"/>
    <w:rsid w:val="00DF7183"/>
    <w:rsid w:val="00DF7278"/>
    <w:rsid w:val="00DF73FF"/>
    <w:rsid w:val="00DF75D0"/>
    <w:rsid w:val="00DF7DD3"/>
    <w:rsid w:val="00DF7E72"/>
    <w:rsid w:val="00E012F0"/>
    <w:rsid w:val="00E020F9"/>
    <w:rsid w:val="00E0319A"/>
    <w:rsid w:val="00E03379"/>
    <w:rsid w:val="00E036AB"/>
    <w:rsid w:val="00E039B5"/>
    <w:rsid w:val="00E04523"/>
    <w:rsid w:val="00E04D9E"/>
    <w:rsid w:val="00E055DF"/>
    <w:rsid w:val="00E05A07"/>
    <w:rsid w:val="00E06119"/>
    <w:rsid w:val="00E0685A"/>
    <w:rsid w:val="00E06DE9"/>
    <w:rsid w:val="00E07160"/>
    <w:rsid w:val="00E104E7"/>
    <w:rsid w:val="00E1150E"/>
    <w:rsid w:val="00E11DDC"/>
    <w:rsid w:val="00E11F0B"/>
    <w:rsid w:val="00E11FBD"/>
    <w:rsid w:val="00E1239A"/>
    <w:rsid w:val="00E12ABC"/>
    <w:rsid w:val="00E13934"/>
    <w:rsid w:val="00E13E8A"/>
    <w:rsid w:val="00E14306"/>
    <w:rsid w:val="00E14DA8"/>
    <w:rsid w:val="00E204E5"/>
    <w:rsid w:val="00E206ED"/>
    <w:rsid w:val="00E20888"/>
    <w:rsid w:val="00E20B53"/>
    <w:rsid w:val="00E20DBC"/>
    <w:rsid w:val="00E20DDB"/>
    <w:rsid w:val="00E21F88"/>
    <w:rsid w:val="00E222B2"/>
    <w:rsid w:val="00E22376"/>
    <w:rsid w:val="00E22478"/>
    <w:rsid w:val="00E23542"/>
    <w:rsid w:val="00E24709"/>
    <w:rsid w:val="00E24F2F"/>
    <w:rsid w:val="00E25BE7"/>
    <w:rsid w:val="00E25D44"/>
    <w:rsid w:val="00E2607B"/>
    <w:rsid w:val="00E2666E"/>
    <w:rsid w:val="00E26C14"/>
    <w:rsid w:val="00E26CFB"/>
    <w:rsid w:val="00E276D1"/>
    <w:rsid w:val="00E27839"/>
    <w:rsid w:val="00E27951"/>
    <w:rsid w:val="00E27BF5"/>
    <w:rsid w:val="00E312C8"/>
    <w:rsid w:val="00E31ED7"/>
    <w:rsid w:val="00E32295"/>
    <w:rsid w:val="00E324B2"/>
    <w:rsid w:val="00E32F86"/>
    <w:rsid w:val="00E33C3C"/>
    <w:rsid w:val="00E343FF"/>
    <w:rsid w:val="00E34A10"/>
    <w:rsid w:val="00E34A77"/>
    <w:rsid w:val="00E3533C"/>
    <w:rsid w:val="00E35600"/>
    <w:rsid w:val="00E35AAB"/>
    <w:rsid w:val="00E3621A"/>
    <w:rsid w:val="00E36B1D"/>
    <w:rsid w:val="00E374FF"/>
    <w:rsid w:val="00E37899"/>
    <w:rsid w:val="00E40559"/>
    <w:rsid w:val="00E40FBC"/>
    <w:rsid w:val="00E41242"/>
    <w:rsid w:val="00E4191C"/>
    <w:rsid w:val="00E41B31"/>
    <w:rsid w:val="00E41E44"/>
    <w:rsid w:val="00E421B1"/>
    <w:rsid w:val="00E42B72"/>
    <w:rsid w:val="00E42B82"/>
    <w:rsid w:val="00E42E2F"/>
    <w:rsid w:val="00E4418E"/>
    <w:rsid w:val="00E4428C"/>
    <w:rsid w:val="00E449BC"/>
    <w:rsid w:val="00E44AA1"/>
    <w:rsid w:val="00E45FCA"/>
    <w:rsid w:val="00E46049"/>
    <w:rsid w:val="00E46105"/>
    <w:rsid w:val="00E46227"/>
    <w:rsid w:val="00E46714"/>
    <w:rsid w:val="00E47663"/>
    <w:rsid w:val="00E500FF"/>
    <w:rsid w:val="00E52F61"/>
    <w:rsid w:val="00E52F9D"/>
    <w:rsid w:val="00E52F9F"/>
    <w:rsid w:val="00E533C3"/>
    <w:rsid w:val="00E533E0"/>
    <w:rsid w:val="00E53A6B"/>
    <w:rsid w:val="00E53BDD"/>
    <w:rsid w:val="00E5408A"/>
    <w:rsid w:val="00E54B0C"/>
    <w:rsid w:val="00E551D7"/>
    <w:rsid w:val="00E55D40"/>
    <w:rsid w:val="00E55F2A"/>
    <w:rsid w:val="00E56588"/>
    <w:rsid w:val="00E569E3"/>
    <w:rsid w:val="00E571AA"/>
    <w:rsid w:val="00E5768B"/>
    <w:rsid w:val="00E576A2"/>
    <w:rsid w:val="00E5795E"/>
    <w:rsid w:val="00E57A62"/>
    <w:rsid w:val="00E57E96"/>
    <w:rsid w:val="00E60AA0"/>
    <w:rsid w:val="00E60CBA"/>
    <w:rsid w:val="00E6242A"/>
    <w:rsid w:val="00E627D0"/>
    <w:rsid w:val="00E63957"/>
    <w:rsid w:val="00E63A4E"/>
    <w:rsid w:val="00E65668"/>
    <w:rsid w:val="00E656C9"/>
    <w:rsid w:val="00E6756C"/>
    <w:rsid w:val="00E67C68"/>
    <w:rsid w:val="00E67FE9"/>
    <w:rsid w:val="00E70797"/>
    <w:rsid w:val="00E70D97"/>
    <w:rsid w:val="00E71939"/>
    <w:rsid w:val="00E7341B"/>
    <w:rsid w:val="00E75629"/>
    <w:rsid w:val="00E77758"/>
    <w:rsid w:val="00E77A51"/>
    <w:rsid w:val="00E80481"/>
    <w:rsid w:val="00E80A2A"/>
    <w:rsid w:val="00E822DF"/>
    <w:rsid w:val="00E82A2D"/>
    <w:rsid w:val="00E82B75"/>
    <w:rsid w:val="00E831E5"/>
    <w:rsid w:val="00E836E5"/>
    <w:rsid w:val="00E84917"/>
    <w:rsid w:val="00E8572A"/>
    <w:rsid w:val="00E85E5A"/>
    <w:rsid w:val="00E8605F"/>
    <w:rsid w:val="00E86708"/>
    <w:rsid w:val="00E86D27"/>
    <w:rsid w:val="00E86F72"/>
    <w:rsid w:val="00E87ADA"/>
    <w:rsid w:val="00E900E6"/>
    <w:rsid w:val="00E90CD2"/>
    <w:rsid w:val="00E911E0"/>
    <w:rsid w:val="00E911E8"/>
    <w:rsid w:val="00E912D5"/>
    <w:rsid w:val="00E9261C"/>
    <w:rsid w:val="00E92F33"/>
    <w:rsid w:val="00E9349B"/>
    <w:rsid w:val="00E93C20"/>
    <w:rsid w:val="00E95248"/>
    <w:rsid w:val="00E954F0"/>
    <w:rsid w:val="00E95EEF"/>
    <w:rsid w:val="00E96820"/>
    <w:rsid w:val="00E96BA7"/>
    <w:rsid w:val="00E97190"/>
    <w:rsid w:val="00E97EE7"/>
    <w:rsid w:val="00EA051F"/>
    <w:rsid w:val="00EA1630"/>
    <w:rsid w:val="00EA1A8C"/>
    <w:rsid w:val="00EA1B00"/>
    <w:rsid w:val="00EA233D"/>
    <w:rsid w:val="00EA3606"/>
    <w:rsid w:val="00EA36A7"/>
    <w:rsid w:val="00EA3779"/>
    <w:rsid w:val="00EA3E65"/>
    <w:rsid w:val="00EA4E76"/>
    <w:rsid w:val="00EA52CC"/>
    <w:rsid w:val="00EA56FB"/>
    <w:rsid w:val="00EA5971"/>
    <w:rsid w:val="00EA6378"/>
    <w:rsid w:val="00EA6729"/>
    <w:rsid w:val="00EA69DC"/>
    <w:rsid w:val="00EB2125"/>
    <w:rsid w:val="00EB2E63"/>
    <w:rsid w:val="00EB31F7"/>
    <w:rsid w:val="00EB3712"/>
    <w:rsid w:val="00EB4C98"/>
    <w:rsid w:val="00EB5526"/>
    <w:rsid w:val="00EB5A26"/>
    <w:rsid w:val="00EB5CEB"/>
    <w:rsid w:val="00EB6215"/>
    <w:rsid w:val="00EB67C2"/>
    <w:rsid w:val="00EB6C5B"/>
    <w:rsid w:val="00EB6E2F"/>
    <w:rsid w:val="00EB7288"/>
    <w:rsid w:val="00EB7471"/>
    <w:rsid w:val="00EB74B3"/>
    <w:rsid w:val="00EC05A4"/>
    <w:rsid w:val="00EC0E0D"/>
    <w:rsid w:val="00EC1292"/>
    <w:rsid w:val="00EC17A4"/>
    <w:rsid w:val="00EC187A"/>
    <w:rsid w:val="00EC229C"/>
    <w:rsid w:val="00EC27D5"/>
    <w:rsid w:val="00EC303E"/>
    <w:rsid w:val="00EC30DE"/>
    <w:rsid w:val="00EC3356"/>
    <w:rsid w:val="00EC34F5"/>
    <w:rsid w:val="00EC45AE"/>
    <w:rsid w:val="00EC470C"/>
    <w:rsid w:val="00EC4DC6"/>
    <w:rsid w:val="00EC6DF2"/>
    <w:rsid w:val="00EC7261"/>
    <w:rsid w:val="00EC7F9E"/>
    <w:rsid w:val="00ED04C5"/>
    <w:rsid w:val="00ED127E"/>
    <w:rsid w:val="00ED22B0"/>
    <w:rsid w:val="00ED2415"/>
    <w:rsid w:val="00ED2DBC"/>
    <w:rsid w:val="00ED3BBF"/>
    <w:rsid w:val="00ED3F7F"/>
    <w:rsid w:val="00ED5BD1"/>
    <w:rsid w:val="00ED5DC1"/>
    <w:rsid w:val="00EE01D5"/>
    <w:rsid w:val="00EE1156"/>
    <w:rsid w:val="00EE1FB7"/>
    <w:rsid w:val="00EE2D03"/>
    <w:rsid w:val="00EE4F68"/>
    <w:rsid w:val="00EE6011"/>
    <w:rsid w:val="00EE6B98"/>
    <w:rsid w:val="00EE7166"/>
    <w:rsid w:val="00EE7E51"/>
    <w:rsid w:val="00EF059B"/>
    <w:rsid w:val="00EF0CB5"/>
    <w:rsid w:val="00EF14C1"/>
    <w:rsid w:val="00EF1C3F"/>
    <w:rsid w:val="00EF2ACA"/>
    <w:rsid w:val="00EF3382"/>
    <w:rsid w:val="00EF4537"/>
    <w:rsid w:val="00EF532C"/>
    <w:rsid w:val="00EF71D7"/>
    <w:rsid w:val="00F00009"/>
    <w:rsid w:val="00F0022F"/>
    <w:rsid w:val="00F00D41"/>
    <w:rsid w:val="00F02D5F"/>
    <w:rsid w:val="00F03241"/>
    <w:rsid w:val="00F045D3"/>
    <w:rsid w:val="00F04E4A"/>
    <w:rsid w:val="00F05016"/>
    <w:rsid w:val="00F053F5"/>
    <w:rsid w:val="00F0592A"/>
    <w:rsid w:val="00F05DE8"/>
    <w:rsid w:val="00F10375"/>
    <w:rsid w:val="00F103A7"/>
    <w:rsid w:val="00F11A8D"/>
    <w:rsid w:val="00F12224"/>
    <w:rsid w:val="00F12852"/>
    <w:rsid w:val="00F1335E"/>
    <w:rsid w:val="00F142C3"/>
    <w:rsid w:val="00F1439E"/>
    <w:rsid w:val="00F144FD"/>
    <w:rsid w:val="00F1462E"/>
    <w:rsid w:val="00F14936"/>
    <w:rsid w:val="00F1573B"/>
    <w:rsid w:val="00F1647E"/>
    <w:rsid w:val="00F164DD"/>
    <w:rsid w:val="00F16FC2"/>
    <w:rsid w:val="00F178A3"/>
    <w:rsid w:val="00F178C1"/>
    <w:rsid w:val="00F200E0"/>
    <w:rsid w:val="00F20710"/>
    <w:rsid w:val="00F21A72"/>
    <w:rsid w:val="00F21F65"/>
    <w:rsid w:val="00F2212C"/>
    <w:rsid w:val="00F2285E"/>
    <w:rsid w:val="00F22A14"/>
    <w:rsid w:val="00F22E4E"/>
    <w:rsid w:val="00F243C1"/>
    <w:rsid w:val="00F25146"/>
    <w:rsid w:val="00F2539C"/>
    <w:rsid w:val="00F25ABF"/>
    <w:rsid w:val="00F25E6C"/>
    <w:rsid w:val="00F26025"/>
    <w:rsid w:val="00F260DA"/>
    <w:rsid w:val="00F26379"/>
    <w:rsid w:val="00F269C0"/>
    <w:rsid w:val="00F26CC9"/>
    <w:rsid w:val="00F2718B"/>
    <w:rsid w:val="00F27EB3"/>
    <w:rsid w:val="00F27F11"/>
    <w:rsid w:val="00F27FDD"/>
    <w:rsid w:val="00F302F3"/>
    <w:rsid w:val="00F3078F"/>
    <w:rsid w:val="00F3166C"/>
    <w:rsid w:val="00F31D05"/>
    <w:rsid w:val="00F32807"/>
    <w:rsid w:val="00F32BE7"/>
    <w:rsid w:val="00F33BAB"/>
    <w:rsid w:val="00F33DF6"/>
    <w:rsid w:val="00F33E45"/>
    <w:rsid w:val="00F34A33"/>
    <w:rsid w:val="00F34DAD"/>
    <w:rsid w:val="00F354E5"/>
    <w:rsid w:val="00F36319"/>
    <w:rsid w:val="00F3771F"/>
    <w:rsid w:val="00F40012"/>
    <w:rsid w:val="00F40394"/>
    <w:rsid w:val="00F404F2"/>
    <w:rsid w:val="00F40858"/>
    <w:rsid w:val="00F40A9F"/>
    <w:rsid w:val="00F41007"/>
    <w:rsid w:val="00F4206E"/>
    <w:rsid w:val="00F429C3"/>
    <w:rsid w:val="00F42A69"/>
    <w:rsid w:val="00F435B0"/>
    <w:rsid w:val="00F43B72"/>
    <w:rsid w:val="00F44825"/>
    <w:rsid w:val="00F4715E"/>
    <w:rsid w:val="00F47246"/>
    <w:rsid w:val="00F477FB"/>
    <w:rsid w:val="00F47E47"/>
    <w:rsid w:val="00F5017E"/>
    <w:rsid w:val="00F509E4"/>
    <w:rsid w:val="00F51A07"/>
    <w:rsid w:val="00F52787"/>
    <w:rsid w:val="00F52978"/>
    <w:rsid w:val="00F53643"/>
    <w:rsid w:val="00F5366B"/>
    <w:rsid w:val="00F54645"/>
    <w:rsid w:val="00F5481E"/>
    <w:rsid w:val="00F54C7A"/>
    <w:rsid w:val="00F5587D"/>
    <w:rsid w:val="00F56277"/>
    <w:rsid w:val="00F57E25"/>
    <w:rsid w:val="00F603AD"/>
    <w:rsid w:val="00F60D78"/>
    <w:rsid w:val="00F60E31"/>
    <w:rsid w:val="00F62F3E"/>
    <w:rsid w:val="00F63C23"/>
    <w:rsid w:val="00F63D2D"/>
    <w:rsid w:val="00F64175"/>
    <w:rsid w:val="00F64367"/>
    <w:rsid w:val="00F645FB"/>
    <w:rsid w:val="00F6490B"/>
    <w:rsid w:val="00F6612D"/>
    <w:rsid w:val="00F67F94"/>
    <w:rsid w:val="00F70A05"/>
    <w:rsid w:val="00F70C57"/>
    <w:rsid w:val="00F71B09"/>
    <w:rsid w:val="00F72241"/>
    <w:rsid w:val="00F72560"/>
    <w:rsid w:val="00F72E57"/>
    <w:rsid w:val="00F72FB7"/>
    <w:rsid w:val="00F7421D"/>
    <w:rsid w:val="00F744BF"/>
    <w:rsid w:val="00F74EF7"/>
    <w:rsid w:val="00F75A08"/>
    <w:rsid w:val="00F75AF9"/>
    <w:rsid w:val="00F762F9"/>
    <w:rsid w:val="00F76495"/>
    <w:rsid w:val="00F76DD8"/>
    <w:rsid w:val="00F773C3"/>
    <w:rsid w:val="00F80DA7"/>
    <w:rsid w:val="00F80FA0"/>
    <w:rsid w:val="00F81011"/>
    <w:rsid w:val="00F81026"/>
    <w:rsid w:val="00F82F94"/>
    <w:rsid w:val="00F83B08"/>
    <w:rsid w:val="00F84566"/>
    <w:rsid w:val="00F84A18"/>
    <w:rsid w:val="00F85C7B"/>
    <w:rsid w:val="00F85DAC"/>
    <w:rsid w:val="00F86062"/>
    <w:rsid w:val="00F86444"/>
    <w:rsid w:val="00F8650A"/>
    <w:rsid w:val="00F8785E"/>
    <w:rsid w:val="00F87B73"/>
    <w:rsid w:val="00F9152A"/>
    <w:rsid w:val="00F91D64"/>
    <w:rsid w:val="00F920C1"/>
    <w:rsid w:val="00F928E9"/>
    <w:rsid w:val="00F932F1"/>
    <w:rsid w:val="00F93525"/>
    <w:rsid w:val="00F95365"/>
    <w:rsid w:val="00F95DD3"/>
    <w:rsid w:val="00F95E89"/>
    <w:rsid w:val="00F975CB"/>
    <w:rsid w:val="00FA04C5"/>
    <w:rsid w:val="00FA0E99"/>
    <w:rsid w:val="00FA1053"/>
    <w:rsid w:val="00FA2432"/>
    <w:rsid w:val="00FA26C5"/>
    <w:rsid w:val="00FA2853"/>
    <w:rsid w:val="00FA39E1"/>
    <w:rsid w:val="00FA3BED"/>
    <w:rsid w:val="00FA4129"/>
    <w:rsid w:val="00FA5270"/>
    <w:rsid w:val="00FA6367"/>
    <w:rsid w:val="00FA657F"/>
    <w:rsid w:val="00FA70E1"/>
    <w:rsid w:val="00FA72FC"/>
    <w:rsid w:val="00FB219F"/>
    <w:rsid w:val="00FB2738"/>
    <w:rsid w:val="00FB2A75"/>
    <w:rsid w:val="00FB31A8"/>
    <w:rsid w:val="00FB3376"/>
    <w:rsid w:val="00FB35E6"/>
    <w:rsid w:val="00FB364F"/>
    <w:rsid w:val="00FB3664"/>
    <w:rsid w:val="00FB3C64"/>
    <w:rsid w:val="00FB3DD9"/>
    <w:rsid w:val="00FB3E65"/>
    <w:rsid w:val="00FB456E"/>
    <w:rsid w:val="00FB4833"/>
    <w:rsid w:val="00FB4BC0"/>
    <w:rsid w:val="00FB5A92"/>
    <w:rsid w:val="00FB6E1E"/>
    <w:rsid w:val="00FB715B"/>
    <w:rsid w:val="00FB7DC6"/>
    <w:rsid w:val="00FB7E63"/>
    <w:rsid w:val="00FC04FE"/>
    <w:rsid w:val="00FC0835"/>
    <w:rsid w:val="00FC0864"/>
    <w:rsid w:val="00FC26FA"/>
    <w:rsid w:val="00FC2F58"/>
    <w:rsid w:val="00FC49AF"/>
    <w:rsid w:val="00FC4A60"/>
    <w:rsid w:val="00FC5130"/>
    <w:rsid w:val="00FC56D6"/>
    <w:rsid w:val="00FC599D"/>
    <w:rsid w:val="00FC5DBF"/>
    <w:rsid w:val="00FC6020"/>
    <w:rsid w:val="00FC64EE"/>
    <w:rsid w:val="00FC767B"/>
    <w:rsid w:val="00FD0342"/>
    <w:rsid w:val="00FD0726"/>
    <w:rsid w:val="00FD0F50"/>
    <w:rsid w:val="00FD1EC9"/>
    <w:rsid w:val="00FD2C26"/>
    <w:rsid w:val="00FD3AA9"/>
    <w:rsid w:val="00FD40E1"/>
    <w:rsid w:val="00FD43C7"/>
    <w:rsid w:val="00FD4E1C"/>
    <w:rsid w:val="00FD5528"/>
    <w:rsid w:val="00FD604E"/>
    <w:rsid w:val="00FD60C0"/>
    <w:rsid w:val="00FD63FF"/>
    <w:rsid w:val="00FD65F8"/>
    <w:rsid w:val="00FD69F7"/>
    <w:rsid w:val="00FD74BC"/>
    <w:rsid w:val="00FE0033"/>
    <w:rsid w:val="00FE019D"/>
    <w:rsid w:val="00FE0888"/>
    <w:rsid w:val="00FE0AA1"/>
    <w:rsid w:val="00FE0BB9"/>
    <w:rsid w:val="00FE0E9A"/>
    <w:rsid w:val="00FE10C0"/>
    <w:rsid w:val="00FE11FD"/>
    <w:rsid w:val="00FE137F"/>
    <w:rsid w:val="00FE1800"/>
    <w:rsid w:val="00FE3193"/>
    <w:rsid w:val="00FE3CDF"/>
    <w:rsid w:val="00FE3E99"/>
    <w:rsid w:val="00FE3F33"/>
    <w:rsid w:val="00FE4259"/>
    <w:rsid w:val="00FE5504"/>
    <w:rsid w:val="00FE6499"/>
    <w:rsid w:val="00FE6516"/>
    <w:rsid w:val="00FE6929"/>
    <w:rsid w:val="00FE6E13"/>
    <w:rsid w:val="00FE6E55"/>
    <w:rsid w:val="00FE75AC"/>
    <w:rsid w:val="00FE76D7"/>
    <w:rsid w:val="00FF05EA"/>
    <w:rsid w:val="00FF07B0"/>
    <w:rsid w:val="00FF1028"/>
    <w:rsid w:val="00FF1670"/>
    <w:rsid w:val="00FF1838"/>
    <w:rsid w:val="00FF1A98"/>
    <w:rsid w:val="00FF1E1D"/>
    <w:rsid w:val="00FF30D3"/>
    <w:rsid w:val="00FF316D"/>
    <w:rsid w:val="00FF42A0"/>
    <w:rsid w:val="00FF606D"/>
    <w:rsid w:val="00FF64B7"/>
    <w:rsid w:val="00FF6728"/>
    <w:rsid w:val="00FF6845"/>
    <w:rsid w:val="00FF7244"/>
    <w:rsid w:val="00FF7333"/>
    <w:rsid w:val="00FF79DD"/>
    <w:rsid w:val="00FF7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0CB777-CFEB-4B7E-9222-DF109479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56E"/>
    <w:pPr>
      <w:bidi/>
      <w:spacing w:before="120" w:after="120" w:line="360" w:lineRule="auto"/>
      <w:jc w:val="both"/>
    </w:pPr>
    <w:rPr>
      <w:rFonts w:ascii="Times New Roman" w:hAnsi="Times New Roman" w:cs="David"/>
      <w:sz w:val="24"/>
      <w:szCs w:val="24"/>
    </w:rPr>
  </w:style>
  <w:style w:type="paragraph" w:styleId="1">
    <w:name w:val="heading 1"/>
    <w:basedOn w:val="a"/>
    <w:next w:val="a"/>
    <w:link w:val="10"/>
    <w:uiPriority w:val="9"/>
    <w:qFormat/>
    <w:rsid w:val="003A1D7A"/>
    <w:pPr>
      <w:widowControl w:val="0"/>
      <w:spacing w:after="0"/>
      <w:outlineLvl w:val="0"/>
    </w:pPr>
    <w:rPr>
      <w:b/>
      <w:bCs/>
      <w:caps/>
      <w:spacing w:val="15"/>
      <w:sz w:val="36"/>
      <w:szCs w:val="36"/>
    </w:rPr>
  </w:style>
  <w:style w:type="paragraph" w:styleId="2">
    <w:name w:val="heading 2"/>
    <w:basedOn w:val="a"/>
    <w:next w:val="a"/>
    <w:link w:val="20"/>
    <w:uiPriority w:val="9"/>
    <w:unhideWhenUsed/>
    <w:qFormat/>
    <w:rsid w:val="00F25E6C"/>
    <w:pPr>
      <w:widowControl w:val="0"/>
      <w:spacing w:before="240" w:after="0"/>
      <w:outlineLvl w:val="1"/>
    </w:pPr>
    <w:rPr>
      <w:b/>
      <w:bCs/>
      <w:caps/>
      <w:spacing w:val="15"/>
      <w:sz w:val="32"/>
      <w:szCs w:val="32"/>
    </w:rPr>
  </w:style>
  <w:style w:type="paragraph" w:styleId="3">
    <w:name w:val="heading 3"/>
    <w:basedOn w:val="a"/>
    <w:next w:val="a"/>
    <w:link w:val="30"/>
    <w:uiPriority w:val="9"/>
    <w:unhideWhenUsed/>
    <w:qFormat/>
    <w:rsid w:val="001611C6"/>
    <w:pPr>
      <w:widowControl w:val="0"/>
      <w:bidi w:val="0"/>
      <w:spacing w:before="300" w:after="0"/>
      <w:outlineLvl w:val="2"/>
    </w:pPr>
    <w:rPr>
      <w:bCs/>
      <w:caps/>
      <w:spacing w:val="15"/>
      <w:sz w:val="28"/>
      <w:szCs w:val="28"/>
    </w:rPr>
  </w:style>
  <w:style w:type="paragraph" w:styleId="4">
    <w:name w:val="heading 4"/>
    <w:basedOn w:val="a"/>
    <w:next w:val="a"/>
    <w:link w:val="40"/>
    <w:uiPriority w:val="9"/>
    <w:unhideWhenUsed/>
    <w:qFormat/>
    <w:rsid w:val="003A1D7A"/>
    <w:pPr>
      <w:bidi w:val="0"/>
      <w:spacing w:before="300" w:after="0"/>
      <w:outlineLvl w:val="3"/>
    </w:pPr>
    <w:rPr>
      <w:b/>
      <w:bCs/>
      <w:caps/>
      <w:spacing w:val="10"/>
    </w:rPr>
  </w:style>
  <w:style w:type="paragraph" w:styleId="5">
    <w:name w:val="heading 5"/>
    <w:basedOn w:val="a"/>
    <w:next w:val="a"/>
    <w:link w:val="50"/>
    <w:uiPriority w:val="9"/>
    <w:unhideWhenUsed/>
    <w:qFormat/>
    <w:rsid w:val="003A1D7A"/>
    <w:pPr>
      <w:widowControl w:val="0"/>
      <w:bidi w:val="0"/>
      <w:spacing w:before="300" w:after="0"/>
      <w:outlineLvl w:val="4"/>
    </w:pPr>
    <w:rPr>
      <w:b/>
      <w:bCs/>
      <w:caps/>
      <w:spacing w:val="10"/>
    </w:rPr>
  </w:style>
  <w:style w:type="paragraph" w:styleId="6">
    <w:name w:val="heading 6"/>
    <w:basedOn w:val="a"/>
    <w:next w:val="a"/>
    <w:link w:val="60"/>
    <w:uiPriority w:val="9"/>
    <w:unhideWhenUsed/>
    <w:qFormat/>
    <w:rsid w:val="00066383"/>
    <w:pPr>
      <w:widowControl w:val="0"/>
      <w:bidi w:val="0"/>
      <w:spacing w:before="300" w:after="0"/>
      <w:outlineLvl w:val="5"/>
    </w:pPr>
    <w:rPr>
      <w:b/>
      <w:bCs/>
      <w:caps/>
      <w:spacing w:val="10"/>
    </w:rPr>
  </w:style>
  <w:style w:type="paragraph" w:styleId="7">
    <w:name w:val="heading 7"/>
    <w:basedOn w:val="a"/>
    <w:next w:val="a"/>
    <w:link w:val="70"/>
    <w:uiPriority w:val="9"/>
    <w:unhideWhenUsed/>
    <w:qFormat/>
    <w:rsid w:val="003A1D7A"/>
    <w:pPr>
      <w:widowControl w:val="0"/>
      <w:bidi w:val="0"/>
      <w:spacing w:before="300" w:after="0"/>
      <w:outlineLvl w:val="6"/>
    </w:pPr>
    <w:rPr>
      <w:b/>
      <w:bCs/>
      <w:caps/>
      <w:spacing w:val="10"/>
    </w:rPr>
  </w:style>
  <w:style w:type="paragraph" w:styleId="8">
    <w:name w:val="heading 8"/>
    <w:basedOn w:val="a"/>
    <w:next w:val="a"/>
    <w:link w:val="80"/>
    <w:uiPriority w:val="9"/>
    <w:semiHidden/>
    <w:unhideWhenUsed/>
    <w:qFormat/>
    <w:rsid w:val="00014182"/>
    <w:pPr>
      <w:bidi w:val="0"/>
      <w:spacing w:before="300" w:after="0"/>
      <w:outlineLvl w:val="7"/>
    </w:pPr>
    <w:rPr>
      <w:caps/>
      <w:spacing w:val="10"/>
      <w:sz w:val="18"/>
      <w:szCs w:val="18"/>
    </w:rPr>
  </w:style>
  <w:style w:type="paragraph" w:styleId="9">
    <w:name w:val="heading 9"/>
    <w:basedOn w:val="a"/>
    <w:next w:val="a"/>
    <w:link w:val="90"/>
    <w:uiPriority w:val="9"/>
    <w:semiHidden/>
    <w:unhideWhenUsed/>
    <w:qFormat/>
    <w:rsid w:val="00014182"/>
    <w:pPr>
      <w:bidi w:val="0"/>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A1D7A"/>
    <w:rPr>
      <w:rFonts w:ascii="Times New Roman" w:hAnsi="Times New Roman" w:cs="David"/>
      <w:b/>
      <w:bCs/>
      <w:caps/>
      <w:spacing w:val="15"/>
      <w:sz w:val="36"/>
      <w:szCs w:val="36"/>
    </w:rPr>
  </w:style>
  <w:style w:type="paragraph" w:styleId="a3">
    <w:name w:val="Quote"/>
    <w:basedOn w:val="a"/>
    <w:next w:val="a"/>
    <w:link w:val="a4"/>
    <w:uiPriority w:val="29"/>
    <w:qFormat/>
    <w:rsid w:val="003A1D7A"/>
    <w:pPr>
      <w:widowControl w:val="0"/>
      <w:ind w:left="567" w:right="567"/>
    </w:pPr>
    <w:rPr>
      <w:i/>
      <w:iCs/>
    </w:rPr>
  </w:style>
  <w:style w:type="character" w:customStyle="1" w:styleId="a4">
    <w:name w:val="ציטוט תו"/>
    <w:basedOn w:val="a0"/>
    <w:link w:val="a3"/>
    <w:uiPriority w:val="29"/>
    <w:rsid w:val="003A1D7A"/>
    <w:rPr>
      <w:rFonts w:ascii="Times New Roman" w:hAnsi="Times New Roman" w:cs="David"/>
      <w:i/>
      <w:iCs/>
      <w:sz w:val="24"/>
      <w:szCs w:val="24"/>
    </w:rPr>
  </w:style>
  <w:style w:type="character" w:customStyle="1" w:styleId="20">
    <w:name w:val="כותרת 2 תו"/>
    <w:basedOn w:val="a0"/>
    <w:link w:val="2"/>
    <w:uiPriority w:val="9"/>
    <w:rsid w:val="00F25E6C"/>
    <w:rPr>
      <w:rFonts w:ascii="Times New Roman" w:hAnsi="Times New Roman" w:cs="David"/>
      <w:b/>
      <w:bCs/>
      <w:caps/>
      <w:spacing w:val="15"/>
      <w:sz w:val="32"/>
      <w:szCs w:val="32"/>
    </w:rPr>
  </w:style>
  <w:style w:type="character" w:customStyle="1" w:styleId="30">
    <w:name w:val="כותרת 3 תו"/>
    <w:basedOn w:val="a0"/>
    <w:link w:val="3"/>
    <w:uiPriority w:val="9"/>
    <w:rsid w:val="001611C6"/>
    <w:rPr>
      <w:rFonts w:ascii="Times New Roman" w:hAnsi="Times New Roman" w:cs="David"/>
      <w:bCs/>
      <w:caps/>
      <w:spacing w:val="15"/>
      <w:sz w:val="28"/>
      <w:szCs w:val="28"/>
    </w:rPr>
  </w:style>
  <w:style w:type="character" w:customStyle="1" w:styleId="40">
    <w:name w:val="כותרת 4 תו"/>
    <w:basedOn w:val="a0"/>
    <w:link w:val="4"/>
    <w:uiPriority w:val="9"/>
    <w:rsid w:val="003A1D7A"/>
    <w:rPr>
      <w:rFonts w:ascii="Times New Roman" w:hAnsi="Times New Roman" w:cs="David"/>
      <w:b/>
      <w:bCs/>
      <w:caps/>
      <w:spacing w:val="10"/>
      <w:sz w:val="24"/>
      <w:szCs w:val="24"/>
    </w:rPr>
  </w:style>
  <w:style w:type="character" w:customStyle="1" w:styleId="50">
    <w:name w:val="כותרת 5 תו"/>
    <w:basedOn w:val="a0"/>
    <w:link w:val="5"/>
    <w:uiPriority w:val="9"/>
    <w:rsid w:val="003A1D7A"/>
    <w:rPr>
      <w:rFonts w:ascii="Times New Roman" w:hAnsi="Times New Roman" w:cs="David"/>
      <w:b/>
      <w:bCs/>
      <w:caps/>
      <w:spacing w:val="10"/>
      <w:sz w:val="24"/>
      <w:szCs w:val="24"/>
    </w:rPr>
  </w:style>
  <w:style w:type="character" w:customStyle="1" w:styleId="60">
    <w:name w:val="כותרת 6 תו"/>
    <w:basedOn w:val="a0"/>
    <w:link w:val="6"/>
    <w:uiPriority w:val="9"/>
    <w:rsid w:val="00066383"/>
    <w:rPr>
      <w:rFonts w:ascii="Times New Roman" w:hAnsi="Times New Roman" w:cs="David"/>
      <w:b/>
      <w:bCs/>
      <w:caps/>
      <w:spacing w:val="10"/>
      <w:sz w:val="24"/>
      <w:szCs w:val="24"/>
    </w:rPr>
  </w:style>
  <w:style w:type="character" w:customStyle="1" w:styleId="70">
    <w:name w:val="כותרת 7 תו"/>
    <w:basedOn w:val="a0"/>
    <w:link w:val="7"/>
    <w:uiPriority w:val="9"/>
    <w:rsid w:val="003A1D7A"/>
    <w:rPr>
      <w:rFonts w:ascii="Times New Roman" w:hAnsi="Times New Roman" w:cs="David"/>
      <w:b/>
      <w:bCs/>
      <w:caps/>
      <w:spacing w:val="10"/>
      <w:sz w:val="24"/>
      <w:szCs w:val="24"/>
    </w:rPr>
  </w:style>
  <w:style w:type="character" w:customStyle="1" w:styleId="80">
    <w:name w:val="כותרת 8 תו"/>
    <w:basedOn w:val="a0"/>
    <w:link w:val="8"/>
    <w:uiPriority w:val="9"/>
    <w:semiHidden/>
    <w:rsid w:val="00014182"/>
    <w:rPr>
      <w:caps/>
      <w:spacing w:val="10"/>
      <w:sz w:val="18"/>
      <w:szCs w:val="18"/>
    </w:rPr>
  </w:style>
  <w:style w:type="character" w:customStyle="1" w:styleId="90">
    <w:name w:val="כותרת 9 תו"/>
    <w:basedOn w:val="a0"/>
    <w:link w:val="9"/>
    <w:uiPriority w:val="9"/>
    <w:semiHidden/>
    <w:rsid w:val="00014182"/>
    <w:rPr>
      <w:i/>
      <w:caps/>
      <w:spacing w:val="10"/>
      <w:sz w:val="18"/>
      <w:szCs w:val="18"/>
    </w:rPr>
  </w:style>
  <w:style w:type="paragraph" w:styleId="a5">
    <w:name w:val="caption"/>
    <w:basedOn w:val="a"/>
    <w:next w:val="a"/>
    <w:uiPriority w:val="35"/>
    <w:unhideWhenUsed/>
    <w:qFormat/>
    <w:rsid w:val="00014182"/>
    <w:pPr>
      <w:bidi w:val="0"/>
    </w:pPr>
    <w:rPr>
      <w:b/>
      <w:bCs/>
      <w:color w:val="365F91" w:themeColor="accent1" w:themeShade="BF"/>
      <w:sz w:val="16"/>
      <w:szCs w:val="16"/>
    </w:rPr>
  </w:style>
  <w:style w:type="paragraph" w:styleId="a6">
    <w:name w:val="TOC Heading"/>
    <w:basedOn w:val="1"/>
    <w:next w:val="a"/>
    <w:uiPriority w:val="39"/>
    <w:semiHidden/>
    <w:unhideWhenUsed/>
    <w:qFormat/>
    <w:rsid w:val="00014182"/>
    <w:pPr>
      <w:bidi w:val="0"/>
      <w:outlineLvl w:val="9"/>
    </w:pPr>
    <w:rPr>
      <w:lang w:bidi="en-US"/>
    </w:rPr>
  </w:style>
  <w:style w:type="paragraph" w:styleId="TOC3">
    <w:name w:val="toc 3"/>
    <w:basedOn w:val="a"/>
    <w:next w:val="a"/>
    <w:autoRedefine/>
    <w:uiPriority w:val="39"/>
    <w:unhideWhenUsed/>
    <w:rsid w:val="00600BFA"/>
    <w:pPr>
      <w:widowControl w:val="0"/>
      <w:tabs>
        <w:tab w:val="right" w:leader="dot" w:pos="8296"/>
      </w:tabs>
      <w:spacing w:before="100" w:after="100" w:line="240" w:lineRule="auto"/>
      <w:ind w:left="482"/>
    </w:pPr>
  </w:style>
  <w:style w:type="paragraph" w:styleId="TOC1">
    <w:name w:val="toc 1"/>
    <w:basedOn w:val="a"/>
    <w:next w:val="a"/>
    <w:autoRedefine/>
    <w:uiPriority w:val="39"/>
    <w:unhideWhenUsed/>
    <w:rsid w:val="00600BFA"/>
    <w:pPr>
      <w:widowControl w:val="0"/>
      <w:tabs>
        <w:tab w:val="right" w:leader="dot" w:pos="8296"/>
      </w:tabs>
      <w:spacing w:before="100" w:after="100" w:line="240" w:lineRule="auto"/>
    </w:pPr>
  </w:style>
  <w:style w:type="paragraph" w:styleId="TOC2">
    <w:name w:val="toc 2"/>
    <w:basedOn w:val="a"/>
    <w:next w:val="a"/>
    <w:autoRedefine/>
    <w:uiPriority w:val="39"/>
    <w:unhideWhenUsed/>
    <w:rsid w:val="00600BFA"/>
    <w:pPr>
      <w:widowControl w:val="0"/>
      <w:tabs>
        <w:tab w:val="right" w:leader="dot" w:pos="8296"/>
      </w:tabs>
      <w:spacing w:before="100" w:after="100" w:line="240" w:lineRule="auto"/>
      <w:ind w:left="238"/>
    </w:pPr>
  </w:style>
  <w:style w:type="paragraph" w:styleId="TOC7">
    <w:name w:val="toc 7"/>
    <w:basedOn w:val="a"/>
    <w:next w:val="a"/>
    <w:autoRedefine/>
    <w:uiPriority w:val="39"/>
    <w:unhideWhenUsed/>
    <w:rsid w:val="00600BFA"/>
    <w:pPr>
      <w:widowControl w:val="0"/>
      <w:tabs>
        <w:tab w:val="right" w:leader="dot" w:pos="8296"/>
      </w:tabs>
      <w:spacing w:before="100" w:after="100" w:line="240" w:lineRule="auto"/>
      <w:ind w:left="1440"/>
    </w:pPr>
  </w:style>
  <w:style w:type="paragraph" w:styleId="TOC6">
    <w:name w:val="toc 6"/>
    <w:basedOn w:val="a"/>
    <w:next w:val="a"/>
    <w:autoRedefine/>
    <w:uiPriority w:val="39"/>
    <w:unhideWhenUsed/>
    <w:rsid w:val="00600BFA"/>
    <w:pPr>
      <w:widowControl w:val="0"/>
      <w:tabs>
        <w:tab w:val="right" w:leader="dot" w:pos="8296"/>
      </w:tabs>
      <w:spacing w:before="100" w:after="100" w:line="240" w:lineRule="auto"/>
      <w:ind w:left="1202"/>
      <w:contextualSpacing/>
    </w:pPr>
  </w:style>
  <w:style w:type="paragraph" w:styleId="TOC5">
    <w:name w:val="toc 5"/>
    <w:basedOn w:val="a"/>
    <w:next w:val="a"/>
    <w:autoRedefine/>
    <w:uiPriority w:val="39"/>
    <w:unhideWhenUsed/>
    <w:rsid w:val="00600BFA"/>
    <w:pPr>
      <w:widowControl w:val="0"/>
      <w:tabs>
        <w:tab w:val="right" w:leader="dot" w:pos="8296"/>
      </w:tabs>
      <w:spacing w:before="100" w:after="100" w:line="240" w:lineRule="auto"/>
      <w:ind w:left="958"/>
    </w:pPr>
  </w:style>
  <w:style w:type="paragraph" w:styleId="TOC4">
    <w:name w:val="toc 4"/>
    <w:basedOn w:val="a"/>
    <w:next w:val="a"/>
    <w:autoRedefine/>
    <w:uiPriority w:val="39"/>
    <w:unhideWhenUsed/>
    <w:rsid w:val="00600BFA"/>
    <w:pPr>
      <w:widowControl w:val="0"/>
      <w:spacing w:before="100" w:after="100" w:line="240" w:lineRule="auto"/>
      <w:ind w:left="720"/>
    </w:pPr>
  </w:style>
  <w:style w:type="paragraph" w:styleId="a7">
    <w:name w:val="List Paragraph"/>
    <w:basedOn w:val="a"/>
    <w:uiPriority w:val="34"/>
    <w:qFormat/>
    <w:rsid w:val="00F25E6C"/>
    <w:pPr>
      <w:spacing w:before="0" w:after="0"/>
      <w:ind w:left="720"/>
      <w:contextualSpacing/>
    </w:p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a8">
    <w:name w:val="header"/>
    <w:basedOn w:val="a"/>
    <w:link w:val="a9"/>
    <w:uiPriority w:val="99"/>
    <w:unhideWhenUsed/>
    <w:rsid w:val="00E70797"/>
    <w:pPr>
      <w:tabs>
        <w:tab w:val="center" w:pos="4153"/>
        <w:tab w:val="right" w:pos="8306"/>
      </w:tabs>
      <w:spacing w:before="0" w:after="0" w:line="240" w:lineRule="auto"/>
    </w:pPr>
  </w:style>
  <w:style w:type="character" w:customStyle="1" w:styleId="a9">
    <w:name w:val="כותרת עליונה תו"/>
    <w:basedOn w:val="a0"/>
    <w:link w:val="a8"/>
    <w:uiPriority w:val="99"/>
    <w:rsid w:val="00E70797"/>
    <w:rPr>
      <w:rFonts w:ascii="Times New Roman" w:hAnsi="Times New Roman" w:cs="David"/>
      <w:sz w:val="24"/>
      <w:szCs w:val="24"/>
    </w:rPr>
  </w:style>
  <w:style w:type="paragraph" w:styleId="aa">
    <w:name w:val="footer"/>
    <w:basedOn w:val="a"/>
    <w:link w:val="ab"/>
    <w:uiPriority w:val="99"/>
    <w:unhideWhenUsed/>
    <w:rsid w:val="00E70797"/>
    <w:pPr>
      <w:tabs>
        <w:tab w:val="center" w:pos="4153"/>
        <w:tab w:val="right" w:pos="8306"/>
      </w:tabs>
      <w:spacing w:before="0" w:after="0" w:line="240" w:lineRule="auto"/>
    </w:pPr>
  </w:style>
  <w:style w:type="character" w:customStyle="1" w:styleId="ab">
    <w:name w:val="כותרת תחתונה תו"/>
    <w:basedOn w:val="a0"/>
    <w:link w:val="aa"/>
    <w:uiPriority w:val="99"/>
    <w:rsid w:val="00E70797"/>
    <w:rPr>
      <w:rFonts w:ascii="Times New Roman" w:hAnsi="Times New Roman" w:cs="David"/>
      <w:sz w:val="24"/>
      <w:szCs w:val="24"/>
    </w:rPr>
  </w:style>
  <w:style w:type="paragraph" w:styleId="ac">
    <w:name w:val="Balloon Text"/>
    <w:basedOn w:val="a"/>
    <w:link w:val="ad"/>
    <w:uiPriority w:val="99"/>
    <w:semiHidden/>
    <w:unhideWhenUsed/>
    <w:rsid w:val="00E70797"/>
    <w:pPr>
      <w:spacing w:before="0" w:after="0" w:line="240" w:lineRule="auto"/>
    </w:pPr>
    <w:rPr>
      <w:rFonts w:ascii="Tahoma" w:hAnsi="Tahoma" w:cs="Tahoma"/>
      <w:sz w:val="16"/>
      <w:szCs w:val="16"/>
    </w:rPr>
  </w:style>
  <w:style w:type="character" w:customStyle="1" w:styleId="ad">
    <w:name w:val="טקסט בלונים תו"/>
    <w:basedOn w:val="a0"/>
    <w:link w:val="ac"/>
    <w:uiPriority w:val="99"/>
    <w:semiHidden/>
    <w:rsid w:val="00E70797"/>
    <w:rPr>
      <w:rFonts w:ascii="Tahoma" w:hAnsi="Tahoma" w:cs="Tahoma"/>
      <w:sz w:val="16"/>
      <w:szCs w:val="16"/>
    </w:rPr>
  </w:style>
  <w:style w:type="paragraph" w:styleId="ae">
    <w:name w:val="footnote text"/>
    <w:basedOn w:val="a"/>
    <w:link w:val="af"/>
    <w:uiPriority w:val="99"/>
    <w:rsid w:val="0072292A"/>
    <w:pPr>
      <w:spacing w:before="0" w:after="0" w:line="240" w:lineRule="auto"/>
      <w:jc w:val="left"/>
    </w:pPr>
    <w:rPr>
      <w:rFonts w:eastAsia="Times New Roman"/>
      <w:sz w:val="22"/>
      <w:szCs w:val="20"/>
    </w:rPr>
  </w:style>
  <w:style w:type="character" w:customStyle="1" w:styleId="af">
    <w:name w:val="טקסט הערת שוליים תו"/>
    <w:basedOn w:val="a0"/>
    <w:link w:val="ae"/>
    <w:uiPriority w:val="99"/>
    <w:rsid w:val="0072292A"/>
    <w:rPr>
      <w:rFonts w:ascii="Times New Roman" w:eastAsia="Times New Roman" w:hAnsi="Times New Roman" w:cs="David"/>
      <w:szCs w:val="20"/>
    </w:rPr>
  </w:style>
  <w:style w:type="character" w:styleId="af0">
    <w:name w:val="footnote reference"/>
    <w:uiPriority w:val="99"/>
    <w:semiHidden/>
    <w:rsid w:val="0072292A"/>
    <w:rPr>
      <w:vertAlign w:val="superscript"/>
    </w:rPr>
  </w:style>
  <w:style w:type="table" w:styleId="af1">
    <w:name w:val="Table Grid"/>
    <w:basedOn w:val="a1"/>
    <w:uiPriority w:val="59"/>
    <w:rsid w:val="008015E2"/>
    <w:pPr>
      <w:bidi/>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64601D"/>
    <w:rPr>
      <w:color w:val="0000FF" w:themeColor="hyperlink"/>
      <w:u w:val="single"/>
    </w:rPr>
  </w:style>
  <w:style w:type="paragraph" w:styleId="NormalWeb">
    <w:name w:val="Normal (Web)"/>
    <w:basedOn w:val="a"/>
    <w:uiPriority w:val="99"/>
    <w:semiHidden/>
    <w:unhideWhenUsed/>
    <w:rsid w:val="00912954"/>
    <w:pPr>
      <w:bidi w:val="0"/>
      <w:spacing w:before="100" w:beforeAutospacing="1" w:after="100" w:afterAutospacing="1" w:line="240" w:lineRule="auto"/>
      <w:jc w:val="left"/>
    </w:pPr>
    <w:rPr>
      <w:rFonts w:eastAsia="Times New Roman" w:cs="Times New Roman"/>
    </w:rPr>
  </w:style>
  <w:style w:type="table" w:styleId="-1">
    <w:name w:val="Light List Accent 1"/>
    <w:basedOn w:val="a1"/>
    <w:uiPriority w:val="61"/>
    <w:rsid w:val="0048461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2">
    <w:name w:val="endnote text"/>
    <w:basedOn w:val="a"/>
    <w:link w:val="af3"/>
    <w:uiPriority w:val="99"/>
    <w:semiHidden/>
    <w:unhideWhenUsed/>
    <w:rsid w:val="00BF008D"/>
    <w:pPr>
      <w:spacing w:before="0" w:after="0" w:line="240" w:lineRule="auto"/>
    </w:pPr>
    <w:rPr>
      <w:sz w:val="20"/>
      <w:szCs w:val="20"/>
    </w:rPr>
  </w:style>
  <w:style w:type="character" w:customStyle="1" w:styleId="af3">
    <w:name w:val="טקסט הערת סיום תו"/>
    <w:basedOn w:val="a0"/>
    <w:link w:val="af2"/>
    <w:uiPriority w:val="99"/>
    <w:semiHidden/>
    <w:rsid w:val="00BF008D"/>
    <w:rPr>
      <w:rFonts w:ascii="Times New Roman" w:hAnsi="Times New Roman" w:cs="David"/>
      <w:sz w:val="20"/>
      <w:szCs w:val="20"/>
    </w:rPr>
  </w:style>
  <w:style w:type="character" w:styleId="af4">
    <w:name w:val="endnote reference"/>
    <w:basedOn w:val="a0"/>
    <w:uiPriority w:val="99"/>
    <w:semiHidden/>
    <w:unhideWhenUsed/>
    <w:rsid w:val="00BF00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59432">
      <w:bodyDiv w:val="1"/>
      <w:marLeft w:val="0"/>
      <w:marRight w:val="0"/>
      <w:marTop w:val="0"/>
      <w:marBottom w:val="0"/>
      <w:divBdr>
        <w:top w:val="none" w:sz="0" w:space="0" w:color="auto"/>
        <w:left w:val="none" w:sz="0" w:space="0" w:color="auto"/>
        <w:bottom w:val="none" w:sz="0" w:space="0" w:color="auto"/>
        <w:right w:val="none" w:sz="0" w:space="0" w:color="auto"/>
      </w:divBdr>
    </w:div>
    <w:div w:id="585916993">
      <w:bodyDiv w:val="1"/>
      <w:marLeft w:val="0"/>
      <w:marRight w:val="0"/>
      <w:marTop w:val="0"/>
      <w:marBottom w:val="0"/>
      <w:divBdr>
        <w:top w:val="none" w:sz="0" w:space="0" w:color="auto"/>
        <w:left w:val="none" w:sz="0" w:space="0" w:color="auto"/>
        <w:bottom w:val="none" w:sz="0" w:space="0" w:color="auto"/>
        <w:right w:val="none" w:sz="0" w:space="0" w:color="auto"/>
      </w:divBdr>
    </w:div>
    <w:div w:id="766118251">
      <w:bodyDiv w:val="1"/>
      <w:marLeft w:val="0"/>
      <w:marRight w:val="0"/>
      <w:marTop w:val="0"/>
      <w:marBottom w:val="0"/>
      <w:divBdr>
        <w:top w:val="none" w:sz="0" w:space="0" w:color="auto"/>
        <w:left w:val="none" w:sz="0" w:space="0" w:color="auto"/>
        <w:bottom w:val="none" w:sz="0" w:space="0" w:color="auto"/>
        <w:right w:val="none" w:sz="0" w:space="0" w:color="auto"/>
      </w:divBdr>
    </w:div>
    <w:div w:id="1498381483">
      <w:bodyDiv w:val="1"/>
      <w:marLeft w:val="0"/>
      <w:marRight w:val="0"/>
      <w:marTop w:val="0"/>
      <w:marBottom w:val="0"/>
      <w:divBdr>
        <w:top w:val="none" w:sz="0" w:space="0" w:color="auto"/>
        <w:left w:val="none" w:sz="0" w:space="0" w:color="auto"/>
        <w:bottom w:val="none" w:sz="0" w:space="0" w:color="auto"/>
        <w:right w:val="none" w:sz="0" w:space="0" w:color="auto"/>
      </w:divBdr>
    </w:div>
    <w:div w:id="1619069396">
      <w:bodyDiv w:val="1"/>
      <w:marLeft w:val="0"/>
      <w:marRight w:val="0"/>
      <w:marTop w:val="0"/>
      <w:marBottom w:val="0"/>
      <w:divBdr>
        <w:top w:val="none" w:sz="0" w:space="0" w:color="auto"/>
        <w:left w:val="none" w:sz="0" w:space="0" w:color="auto"/>
        <w:bottom w:val="none" w:sz="0" w:space="0" w:color="auto"/>
        <w:right w:val="none" w:sz="0" w:space="0" w:color="auto"/>
      </w:divBdr>
    </w:div>
    <w:div w:id="163921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of.gov.il/ChiefEcon/EconomyAndResearch/ArticlesSet/Article_10092017.pdf" TargetMode="External"/><Relationship Id="rId2" Type="http://schemas.openxmlformats.org/officeDocument/2006/relationships/hyperlink" Target="https://www.boi.org.il/he/Research/Pages/dp201813h.aspx" TargetMode="External"/><Relationship Id="rId1" Type="http://schemas.openxmlformats.org/officeDocument/2006/relationships/hyperlink" Target="https://mof.gov.il/ChiefEcon/EconomyAndResearch/ArticlesSet/Article_27122016.pdf" TargetMode="External"/><Relationship Id="rId4" Type="http://schemas.openxmlformats.org/officeDocument/2006/relationships/hyperlink" Target="https://mof.gov.il/ChiefEcon/EconomyAndResearch/ArticlesSet/Article_20151019c.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png"/><Relationship Id="rId1" Type="http://schemas.openxmlformats.org/officeDocument/2006/relationships/image" Target="media/image12.tmp"/></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B5C87-7DE5-4A98-912E-C0EFAAFD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2674</Words>
  <Characters>13371</Characters>
  <Application>Microsoft Office Word</Application>
  <DocSecurity>0</DocSecurity>
  <Lines>111</Lines>
  <Paragraphs>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MOF</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יואל נוה</dc:creator>
  <cp:lastModifiedBy>דנה רבינוביץ</cp:lastModifiedBy>
  <cp:revision>2</cp:revision>
  <cp:lastPrinted>2020-08-06T09:01:00Z</cp:lastPrinted>
  <dcterms:created xsi:type="dcterms:W3CDTF">2020-10-12T06:28:00Z</dcterms:created>
  <dcterms:modified xsi:type="dcterms:W3CDTF">2020-10-12T06:28:00Z</dcterms:modified>
</cp:coreProperties>
</file>